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荔浦市建设用地征收房屋及地上附着物拆迁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补偿标准</w:t>
      </w:r>
    </w:p>
    <w:tbl>
      <w:tblPr>
        <w:tblStyle w:val="5"/>
        <w:tblW w:w="910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2821"/>
        <w:gridCol w:w="1612"/>
        <w:gridCol w:w="1879"/>
        <w:gridCol w:w="188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Header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  <w:t>序号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  <w:t>拆 迁 物 类 型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  <w:t>单  位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  <w:t>补偿标准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  <w:t>备  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  <w:t>一、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  <w:t>房屋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框架钢混结构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1100-1400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（1）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第一层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1300-1400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含地基、圈樑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（2）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第二层及以上楼层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1100-1200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砖混结构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900-1200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（1）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第一层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1100-1200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含地基、圈樑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（2）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第二层及以上楼层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900-1000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砖木结构（砖瓦结构）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（1）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青砖、红砖、水泥砖、片石砌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500-800</w:t>
            </w:r>
          </w:p>
        </w:tc>
        <w:tc>
          <w:tcPr>
            <w:tcW w:w="18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上盖片瓦（含地基、圈樑）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（2）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泥砖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500-800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上盖片瓦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4、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木结构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500-800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5、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泥瓦结构（土木结构）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400-700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上盖片瓦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  <w:t>二、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  <w:t>临时建筑（构筑物）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砖混结构小屋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600-800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砖瓦结构小屋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300-400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上盖片瓦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砖墙铁皮瓦、石棉瓦、水泥瓦、树脂瓦屋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250-350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4、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泥瓦结构小屋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250-300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上盖片瓦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5、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铁柱铁皮瓦棚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60-90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6、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铁柱树脂瓦、铝皮瓦、彩钢瓦棚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100-130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7、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铁皮围栏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35-40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8、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室外楼梯（钢筋混凝土）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500-700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9、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房屋砼飞檐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（1）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平面飞檐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300-500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（2）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斜坡飞檐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400-500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10、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未浇注楼面构筑物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（1）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第一层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400-800</w:t>
            </w:r>
          </w:p>
        </w:tc>
        <w:tc>
          <w:tcPr>
            <w:tcW w:w="18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视高度情况酌情评估，含地基及圈樑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（2）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第二层及以上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250-500</w:t>
            </w:r>
          </w:p>
        </w:tc>
        <w:tc>
          <w:tcPr>
            <w:tcW w:w="18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视墙体高度酌情评估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11、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隔层隔板（钢筋混凝土）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300</w:t>
            </w:r>
          </w:p>
        </w:tc>
        <w:tc>
          <w:tcPr>
            <w:tcW w:w="18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12、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浆砌基础石方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元/立方米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180-200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13、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混凝土圈樑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60-70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14、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浆砌片石挡土墙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元/立方米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200-220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15、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挡墙（隔墙）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（1）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水泥砖、红砖砌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60-80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（2）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鹅卵石砌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元/立方米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120-160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16、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围墙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（1）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红砖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80-120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（2）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水泥砖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60-100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（3）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泥砖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40-60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（4）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泥墙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30-50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17、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钢筋水泥板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180-250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18、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晒场、水泥硬化地坪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60-80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19、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柴火灶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元/口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400-600</w:t>
            </w:r>
          </w:p>
        </w:tc>
        <w:tc>
          <w:tcPr>
            <w:tcW w:w="1880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按灶口计，烟囱计1个灶口。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20、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水泥硬化货物装卸台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200-250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21、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其它临时简易构建物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30-150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  <w:t>三、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  <w:t>水利设施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粪池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元/立方米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20-80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水井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（1）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机钻井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100-150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（2）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圈井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200-250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  <w:t>四、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  <w:t>其他设施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（一）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沼气池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元/立方米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500-600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（二）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化粪池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元/立方米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100-300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（三）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电线（通讯、广电）杆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80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含材料、人工、运费等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水泥杆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（1）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5米杆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元/根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500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（2）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7米杆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元/根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800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（3）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8米杆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元/根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1200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（4）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9米杆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元/根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1350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（5）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10米杆及以上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元/根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1450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镀锌铁杆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（1）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直径50毫米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15-18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（2）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直径60毫米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20-22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（3）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直径80毫米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23-25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（四）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水泥排水管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直径20-80厘米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20-80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直径100厘米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120-140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（1）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直径50毫米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15-18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（2）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直径60毫米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20-22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  <w:t>五、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  <w:t>电力设施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  <w:t>农业生产用电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220伏送配电线路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2-5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按双线计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380伏送配电线路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6-10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按双线计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迁移变压器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元/千伏安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400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  <w:t>六、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  <w:t>农作物大棚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铁管盖膜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25-30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铁管盖遮阳网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（1）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盖普通遮阳网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10-12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(2)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盖塑料遮阳网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20-25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水泥柱遮阳网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10-15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4、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竹、木柱遮阳网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5-8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5、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水泥桩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元/根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5-8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6、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遮阳网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3-5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7、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镀锌管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3-5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  <w:t>七、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  <w:t>农作物喷灌设施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热熔水管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元/亩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1000-1200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含开关、龙头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软水管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元/亩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600-800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含开关、龙头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PVC管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含开关、龙头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（1）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PVC管16mm(线管)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含开关、龙头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(2)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PVC管20mm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2.5-3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含开关、龙头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(3)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PVC管25mm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3-4.5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含开关、龙头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（4）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PVC管32mm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4-5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含开关、龙头、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（5）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PVC管50mm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6-7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含开关、龙头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（6）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PVC管63mm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13-14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含开关、龙头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（7）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PVC管75mm以上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参照市场价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含开关、龙头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4、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自动喷水喷头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元/个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8-10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5、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热熔水管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2-5</w:t>
            </w:r>
          </w:p>
        </w:tc>
        <w:tc>
          <w:tcPr>
            <w:tcW w:w="1880" w:type="dxa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6、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软水管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1-3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  <w:t>八、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  <w:t>房屋装修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室内用电线路及安装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80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主住房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（1）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砖混房屋明装铝芯线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15-20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（2）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砖混房屋明装铜芯线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25-30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（3）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砖混房屋暗装铜芯线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45-50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（4）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砖（泥）瓦房屋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8-12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吊顶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（1）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石膏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18-22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（2）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铝扣板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70-100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（3）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防火板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90-110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（4）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中式实木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150-200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电视背景墙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（1）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防火埃特板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150-200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（2）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中式实木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200-250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4、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门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（1）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304材质不锈钢门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800-900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（2）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201、202材质不锈钢门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300-400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（3）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铝门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900-1100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（4）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铁门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150-200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（5）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锌铁合金工艺大门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800-1000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（6）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锌铁合金房门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元/套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700-800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（7）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铝合金普通纱门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元/套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400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（8）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铝合金金钢纱门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元/套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500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（9）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卫生间铝合金、塑钢门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元/套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300-500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（10）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铝合金推拉玻璃门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200-300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（11）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防盗门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元/套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1000-2000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（12）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包门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元/套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500-800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（13）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木大门（框架钢混、砖混结构房屋内）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350-400</w:t>
            </w:r>
          </w:p>
        </w:tc>
        <w:tc>
          <w:tcPr>
            <w:tcW w:w="1880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含油漆，门宽1.2米以上。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5、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铝合金窗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170-190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6、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墙纸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30-40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7、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石膏装饰条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8-12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8、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装饰瓷瓶柱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元/个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20-25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9、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组合橱柜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400-800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10、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砖砌橱柜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元/个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300-500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11、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组合式洗手盆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元/套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300-500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12、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单柱式洗手盆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元/个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100-200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13、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不锈钢洗菜盆（单盆）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元/个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100-150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14、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不锈钢洗菜盆（双盆）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元/个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250-300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15、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铁、铝、不锈钢防盗网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50-100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16、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楼梯步级侧面砖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35-40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17、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贴墙脚线瓷砖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25-30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18、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贴墙瓷砖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50-80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19、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贴地瓷砖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60-100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20、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楼梯阶级大理石砖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120-150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21、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水磨石地板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50-70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22、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木地板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80-200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23、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拉闸门、卷闸门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120-180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24、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楼梯木、合金扶手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90-150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25、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蹲式便盆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元/个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50-200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26、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坐式便盆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元/个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300-700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27、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浴缸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元/个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500-1000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28、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屋面琉璃瓦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80-90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29、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给、排水设施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元/户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200-600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房屋内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30、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卫生间给、排水设施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元/间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250-350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房屋内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31、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室内外安装自来水管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元/户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1500-2500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视层数评估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32、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内墙披灰（框架钢混、砖混结构住房）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按建筑面积计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33、</w:t>
            </w:r>
          </w:p>
        </w:tc>
        <w:tc>
          <w:tcPr>
            <w:tcW w:w="2821" w:type="dxa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外墙披灰（框架钢混、砖混结构住房）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按建筑面积计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34、</w:t>
            </w:r>
          </w:p>
        </w:tc>
        <w:tc>
          <w:tcPr>
            <w:tcW w:w="2821" w:type="dxa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内墙刮腻子、涂料（框架钢混、砖混结构住房）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20-30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按建筑面积计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35、</w:t>
            </w:r>
          </w:p>
        </w:tc>
        <w:tc>
          <w:tcPr>
            <w:tcW w:w="2821" w:type="dxa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外墙涂料（框架钢混、砖混结构住房）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40-50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按建筑面积计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  <w:t>九</w:t>
            </w:r>
          </w:p>
        </w:tc>
        <w:tc>
          <w:tcPr>
            <w:tcW w:w="2821" w:type="dxa"/>
          </w:tcPr>
          <w:p>
            <w:pP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  <w:t>坟墓</w:t>
            </w:r>
          </w:p>
        </w:tc>
        <w:tc>
          <w:tcPr>
            <w:tcW w:w="1612" w:type="dxa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879" w:type="dxa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>
            <w:pP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8" w:type="dxa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1、</w:t>
            </w:r>
          </w:p>
        </w:tc>
        <w:tc>
          <w:tcPr>
            <w:tcW w:w="2821" w:type="dxa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一类坟：五合石碑，石板坟手</w:t>
            </w:r>
          </w:p>
        </w:tc>
        <w:tc>
          <w:tcPr>
            <w:tcW w:w="1612" w:type="dxa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元/座</w:t>
            </w:r>
          </w:p>
        </w:tc>
        <w:tc>
          <w:tcPr>
            <w:tcW w:w="1879" w:type="dxa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9000-11000</w:t>
            </w:r>
          </w:p>
        </w:tc>
        <w:tc>
          <w:tcPr>
            <w:tcW w:w="1880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含坟墓地价 。如遇合墓，按照对应规格标准单价的1.5倍进行计算。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8" w:type="dxa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2、</w:t>
            </w:r>
          </w:p>
        </w:tc>
        <w:tc>
          <w:tcPr>
            <w:tcW w:w="2821" w:type="dxa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二类坟：五合石碑，宽2.0尺以上</w:t>
            </w:r>
          </w:p>
        </w:tc>
        <w:tc>
          <w:tcPr>
            <w:tcW w:w="1612" w:type="dxa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元/座</w:t>
            </w:r>
          </w:p>
        </w:tc>
        <w:tc>
          <w:tcPr>
            <w:tcW w:w="1879" w:type="dxa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7500-9000</w:t>
            </w:r>
          </w:p>
        </w:tc>
        <w:tc>
          <w:tcPr>
            <w:tcW w:w="1880" w:type="dxa"/>
            <w:vMerge w:val="continue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8" w:type="dxa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3、</w:t>
            </w:r>
          </w:p>
        </w:tc>
        <w:tc>
          <w:tcPr>
            <w:tcW w:w="2821" w:type="dxa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三类坟：五合石碑， 1.8-2.0尺宽</w:t>
            </w:r>
          </w:p>
        </w:tc>
        <w:tc>
          <w:tcPr>
            <w:tcW w:w="1612" w:type="dxa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元/座</w:t>
            </w:r>
          </w:p>
        </w:tc>
        <w:tc>
          <w:tcPr>
            <w:tcW w:w="1879" w:type="dxa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6000-7500</w:t>
            </w:r>
          </w:p>
        </w:tc>
        <w:tc>
          <w:tcPr>
            <w:tcW w:w="1880" w:type="dxa"/>
            <w:vMerge w:val="continue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8" w:type="dxa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4、</w:t>
            </w:r>
          </w:p>
        </w:tc>
        <w:tc>
          <w:tcPr>
            <w:tcW w:w="2821" w:type="dxa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四类坟：五合石碑， 1.6-1.8尺宽</w:t>
            </w:r>
          </w:p>
        </w:tc>
        <w:tc>
          <w:tcPr>
            <w:tcW w:w="1612" w:type="dxa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元/座</w:t>
            </w:r>
          </w:p>
        </w:tc>
        <w:tc>
          <w:tcPr>
            <w:tcW w:w="1879" w:type="dxa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5500-6000</w:t>
            </w:r>
          </w:p>
        </w:tc>
        <w:tc>
          <w:tcPr>
            <w:tcW w:w="1880" w:type="dxa"/>
            <w:vMerge w:val="continue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8" w:type="dxa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5、</w:t>
            </w:r>
          </w:p>
        </w:tc>
        <w:tc>
          <w:tcPr>
            <w:tcW w:w="2821" w:type="dxa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五类坟：五合石碑， 1.4-1.6尺宽</w:t>
            </w:r>
          </w:p>
        </w:tc>
        <w:tc>
          <w:tcPr>
            <w:tcW w:w="1612" w:type="dxa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元/座</w:t>
            </w:r>
          </w:p>
        </w:tc>
        <w:tc>
          <w:tcPr>
            <w:tcW w:w="1879" w:type="dxa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5000-5500</w:t>
            </w:r>
          </w:p>
        </w:tc>
        <w:tc>
          <w:tcPr>
            <w:tcW w:w="1880" w:type="dxa"/>
            <w:vMerge w:val="continue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8" w:type="dxa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6、</w:t>
            </w:r>
          </w:p>
        </w:tc>
        <w:tc>
          <w:tcPr>
            <w:tcW w:w="2821" w:type="dxa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六类坟：工字碑， 1.4-1.8尺宽</w:t>
            </w:r>
          </w:p>
        </w:tc>
        <w:tc>
          <w:tcPr>
            <w:tcW w:w="1612" w:type="dxa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元/座</w:t>
            </w:r>
          </w:p>
        </w:tc>
        <w:tc>
          <w:tcPr>
            <w:tcW w:w="1879" w:type="dxa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4500-5000</w:t>
            </w:r>
          </w:p>
        </w:tc>
        <w:tc>
          <w:tcPr>
            <w:tcW w:w="1880" w:type="dxa"/>
            <w:vMerge w:val="continue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7、</w:t>
            </w:r>
          </w:p>
        </w:tc>
        <w:tc>
          <w:tcPr>
            <w:tcW w:w="2821" w:type="dxa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七类坟：简易石碑</w:t>
            </w:r>
          </w:p>
        </w:tc>
        <w:tc>
          <w:tcPr>
            <w:tcW w:w="1612" w:type="dxa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元/座</w:t>
            </w:r>
          </w:p>
        </w:tc>
        <w:tc>
          <w:tcPr>
            <w:tcW w:w="1879" w:type="dxa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4000-4500</w:t>
            </w:r>
          </w:p>
        </w:tc>
        <w:tc>
          <w:tcPr>
            <w:tcW w:w="1880" w:type="dxa"/>
            <w:vMerge w:val="continue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8、</w:t>
            </w:r>
          </w:p>
        </w:tc>
        <w:tc>
          <w:tcPr>
            <w:tcW w:w="2821" w:type="dxa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八类坟：无石碑土坟</w:t>
            </w:r>
          </w:p>
        </w:tc>
        <w:tc>
          <w:tcPr>
            <w:tcW w:w="1612" w:type="dxa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元/座</w:t>
            </w:r>
          </w:p>
        </w:tc>
        <w:tc>
          <w:tcPr>
            <w:tcW w:w="1879" w:type="dxa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4000</w:t>
            </w:r>
          </w:p>
        </w:tc>
        <w:tc>
          <w:tcPr>
            <w:tcW w:w="1880" w:type="dxa"/>
            <w:vMerge w:val="continue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08" w:type="dxa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9、</w:t>
            </w:r>
          </w:p>
        </w:tc>
        <w:tc>
          <w:tcPr>
            <w:tcW w:w="2821" w:type="dxa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寄放金坛</w:t>
            </w:r>
          </w:p>
        </w:tc>
        <w:tc>
          <w:tcPr>
            <w:tcW w:w="1612" w:type="dxa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元/个</w:t>
            </w:r>
          </w:p>
        </w:tc>
        <w:tc>
          <w:tcPr>
            <w:tcW w:w="1879" w:type="dxa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1500-2000</w:t>
            </w:r>
          </w:p>
        </w:tc>
        <w:tc>
          <w:tcPr>
            <w:tcW w:w="1880" w:type="dxa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说明：房屋类型划分按土地使用证、房屋所有权或不动产权证作依据，按建筑面积计算。上述房屋补偿标准为普通装修后的补偿价格，普通木门窗、地基、圈樑等不另计价。砖木结构、泥瓦结构住宅及临时建筑（构筑物）的室内外批灰、粉墙粗沙、刮腻子（涂料）已计入房屋评估价内，不再另评。</w:t>
      </w:r>
    </w:p>
    <w:sectPr>
      <w:headerReference r:id="rId3" w:type="default"/>
      <w:footerReference r:id="rId4" w:type="default"/>
      <w:pgSz w:w="11906" w:h="16838"/>
      <w:pgMar w:top="2098" w:right="1304" w:bottom="1304" w:left="1587" w:header="851" w:footer="1361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tabs>
                              <w:tab w:val="left" w:pos="7140"/>
                            </w:tabs>
                            <w:wordWrap w:val="0"/>
                            <w:ind w:right="405" w:firstLine="360"/>
                            <w:jc w:val="right"/>
                            <w:rPr>
                              <w:rFonts w:hint="eastAsia" w:ascii="宋体" w:hAnsi="宋体"/>
                              <w:color w:val="000000"/>
                              <w:spacing w:val="-8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8"/>
                              <w:rFonts w:hint="eastAsia"/>
                              <w:color w:val="000000"/>
                              <w:spacing w:val="-8"/>
                              <w:sz w:val="28"/>
                              <w:szCs w:val="28"/>
                            </w:rPr>
                            <w:t xml:space="preserve">—  </w:t>
                          </w:r>
                          <w:r>
                            <w:rPr>
                              <w:rFonts w:ascii="宋体" w:hAnsi="宋体"/>
                              <w:color w:val="000000"/>
                              <w:spacing w:val="-8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/>
                              <w:color w:val="000000"/>
                              <w:spacing w:val="-8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color w:val="000000"/>
                              <w:spacing w:val="-8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/>
                              <w:color w:val="000000"/>
                              <w:spacing w:val="-8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宋体" w:hAnsi="宋体"/>
                              <w:color w:val="000000"/>
                              <w:spacing w:val="-8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 w:ascii="宋体" w:hAnsi="宋体"/>
                              <w:color w:val="000000"/>
                              <w:spacing w:val="-8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8"/>
                              <w:rFonts w:hint="eastAsia"/>
                              <w:color w:val="000000"/>
                              <w:spacing w:val="-8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tabs>
                        <w:tab w:val="left" w:pos="7140"/>
                      </w:tabs>
                      <w:wordWrap w:val="0"/>
                      <w:ind w:right="405" w:firstLine="360"/>
                      <w:jc w:val="right"/>
                      <w:rPr>
                        <w:rFonts w:hint="eastAsia" w:ascii="宋体" w:hAnsi="宋体"/>
                        <w:color w:val="000000"/>
                        <w:spacing w:val="-8"/>
                        <w:sz w:val="28"/>
                        <w:szCs w:val="28"/>
                      </w:rPr>
                    </w:pPr>
                    <w:r>
                      <w:rPr>
                        <w:rStyle w:val="8"/>
                        <w:rFonts w:hint="eastAsia"/>
                        <w:color w:val="000000"/>
                        <w:spacing w:val="-8"/>
                        <w:sz w:val="28"/>
                        <w:szCs w:val="28"/>
                      </w:rPr>
                      <w:t xml:space="preserve">—  </w:t>
                    </w:r>
                    <w:r>
                      <w:rPr>
                        <w:rFonts w:ascii="宋体" w:hAnsi="宋体"/>
                        <w:color w:val="000000"/>
                        <w:spacing w:val="-8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/>
                        <w:color w:val="000000"/>
                        <w:spacing w:val="-8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color w:val="000000"/>
                        <w:spacing w:val="-8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/>
                        <w:color w:val="000000"/>
                        <w:spacing w:val="-8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宋体" w:hAnsi="宋体"/>
                        <w:color w:val="000000"/>
                        <w:spacing w:val="-8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 w:ascii="宋体" w:hAnsi="宋体"/>
                        <w:color w:val="000000"/>
                        <w:spacing w:val="-8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8"/>
                        <w:rFonts w:hint="eastAsia"/>
                        <w:color w:val="000000"/>
                        <w:spacing w:val="-8"/>
                        <w:sz w:val="28"/>
                        <w:szCs w:val="28"/>
                      </w:rPr>
                      <w:t xml:space="preserve"> —</w:t>
                    </w:r>
                  </w:p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C44979"/>
    <w:rsid w:val="0A3E0AC2"/>
    <w:rsid w:val="0D8B66A0"/>
    <w:rsid w:val="16D5595C"/>
    <w:rsid w:val="19E64028"/>
    <w:rsid w:val="1E084A2D"/>
    <w:rsid w:val="231A2D82"/>
    <w:rsid w:val="26756936"/>
    <w:rsid w:val="27A95172"/>
    <w:rsid w:val="28233205"/>
    <w:rsid w:val="2A3C18E5"/>
    <w:rsid w:val="3F2F594F"/>
    <w:rsid w:val="457C13BA"/>
    <w:rsid w:val="4E9D2F5F"/>
    <w:rsid w:val="55097BBA"/>
    <w:rsid w:val="576B4C48"/>
    <w:rsid w:val="70CF4C86"/>
    <w:rsid w:val="79390E53"/>
    <w:rsid w:val="7CB9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6">
    <w:name w:val="Default Paragraph Font"/>
    <w:link w:val="7"/>
    <w:semiHidden/>
    <w:qFormat/>
    <w:uiPriority w:val="0"/>
    <w:rPr>
      <w:rFonts w:ascii="Verdana" w:hAnsi="Verdana" w:eastAsia="仿宋_GB2312" w:cs="Verdana"/>
      <w:kern w:val="0"/>
      <w:sz w:val="24"/>
      <w:szCs w:val="24"/>
      <w:lang w:eastAsia="en-US"/>
    </w:rPr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Char Char Char"/>
    <w:basedOn w:val="1"/>
    <w:link w:val="6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szCs w:val="24"/>
      <w:lang w:eastAsia="en-US"/>
    </w:r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2020-04-27T09:52:00Z</dcterms:created>
  <dc:creator>.</dc:creator>
  <cp:lastModifiedBy>Bin</cp:lastModifiedBy>
  <cp:lastPrinted>2020-04-30T08:50:00Z</cp:lastPrinted>
  <dcterms:modified xsi:type="dcterms:W3CDTF">2020-06-01T08:20:11Z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