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98227">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both"/>
        <w:textAlignment w:val="auto"/>
        <w:rPr>
          <w:rFonts w:hint="default"/>
        </w:rPr>
      </w:pPr>
    </w:p>
    <w:p w14:paraId="70074DE2">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rPr>
      </w:pPr>
    </w:p>
    <w:p w14:paraId="115F82D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Style w:val="39"/>
          <w:rFonts w:hint="eastAsia" w:ascii="方正公文小标宋" w:hAnsi="方正公文小标宋" w:eastAsia="方正公文小标宋" w:cs="方正公文小标宋"/>
          <w:sz w:val="44"/>
          <w:szCs w:val="44"/>
          <w:highlight w:val="none"/>
        </w:rPr>
      </w:pPr>
      <w:r>
        <w:rPr>
          <w:rStyle w:val="39"/>
          <w:rFonts w:hint="eastAsia" w:ascii="方正公文小标宋" w:hAnsi="方正公文小标宋" w:eastAsia="方正公文小标宋" w:cs="方正公文小标宋"/>
          <w:sz w:val="44"/>
          <w:szCs w:val="44"/>
          <w:highlight w:val="none"/>
        </w:rPr>
        <w:t>荔浦市乡村地区</w:t>
      </w:r>
      <w:r>
        <w:rPr>
          <w:rStyle w:val="39"/>
          <w:rFonts w:hint="eastAsia" w:ascii="方正公文小标宋" w:hAnsi="方正公文小标宋" w:eastAsia="方正公文小标宋" w:cs="方正公文小标宋"/>
          <w:sz w:val="44"/>
          <w:szCs w:val="44"/>
          <w:highlight w:val="none"/>
          <w:lang w:eastAsia="zh-CN"/>
        </w:rPr>
        <w:t>“</w:t>
      </w:r>
      <w:r>
        <w:rPr>
          <w:rStyle w:val="39"/>
          <w:rFonts w:hint="eastAsia" w:ascii="方正公文小标宋" w:hAnsi="方正公文小标宋" w:eastAsia="方正公文小标宋" w:cs="方正公文小标宋"/>
          <w:sz w:val="44"/>
          <w:szCs w:val="44"/>
          <w:highlight w:val="none"/>
        </w:rPr>
        <w:t>通则式</w:t>
      </w:r>
      <w:r>
        <w:rPr>
          <w:rStyle w:val="39"/>
          <w:rFonts w:hint="eastAsia" w:ascii="方正公文小标宋" w:hAnsi="方正公文小标宋" w:eastAsia="方正公文小标宋" w:cs="方正公文小标宋"/>
          <w:sz w:val="44"/>
          <w:szCs w:val="44"/>
          <w:highlight w:val="none"/>
          <w:lang w:eastAsia="zh-CN"/>
        </w:rPr>
        <w:t>”</w:t>
      </w:r>
      <w:r>
        <w:rPr>
          <w:rStyle w:val="39"/>
          <w:rFonts w:hint="eastAsia" w:ascii="方正公文小标宋" w:hAnsi="方正公文小标宋" w:eastAsia="方正公文小标宋" w:cs="方正公文小标宋"/>
          <w:sz w:val="44"/>
          <w:szCs w:val="44"/>
          <w:highlight w:val="none"/>
        </w:rPr>
        <w:t>规划管理规定</w:t>
      </w:r>
    </w:p>
    <w:p w14:paraId="133D41F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Style w:val="39"/>
          <w:rFonts w:hint="eastAsia" w:ascii="方正公文小标宋" w:hAnsi="方正公文小标宋" w:eastAsia="方正公文小标宋" w:cs="方正公文小标宋"/>
          <w:sz w:val="44"/>
          <w:szCs w:val="44"/>
          <w:highlight w:val="none"/>
          <w:lang w:eastAsia="zh-CN"/>
        </w:rPr>
      </w:pPr>
      <w:r>
        <w:rPr>
          <w:rStyle w:val="39"/>
          <w:rFonts w:hint="eastAsia" w:ascii="方正公文小标宋" w:hAnsi="方正公文小标宋" w:eastAsia="方正公文小标宋" w:cs="方正公文小标宋"/>
          <w:sz w:val="44"/>
          <w:szCs w:val="44"/>
          <w:highlight w:val="none"/>
          <w:lang w:eastAsia="zh-CN"/>
        </w:rPr>
        <w:t>（</w:t>
      </w:r>
      <w:r>
        <w:rPr>
          <w:rStyle w:val="39"/>
          <w:rFonts w:hint="eastAsia" w:ascii="方正公文小标宋" w:hAnsi="方正公文小标宋" w:eastAsia="方正公文小标宋" w:cs="方正公文小标宋"/>
          <w:sz w:val="44"/>
          <w:szCs w:val="44"/>
          <w:highlight w:val="none"/>
          <w:lang w:val="en-US" w:eastAsia="zh-CN"/>
        </w:rPr>
        <w:t>试行</w:t>
      </w:r>
      <w:r>
        <w:rPr>
          <w:rStyle w:val="39"/>
          <w:rFonts w:hint="eastAsia" w:ascii="方正公文小标宋" w:hAnsi="方正公文小标宋" w:eastAsia="方正公文小标宋" w:cs="方正公文小标宋"/>
          <w:sz w:val="44"/>
          <w:szCs w:val="44"/>
          <w:highlight w:val="none"/>
          <w:lang w:eastAsia="zh-CN"/>
        </w:rPr>
        <w:t>）</w:t>
      </w:r>
    </w:p>
    <w:p w14:paraId="308F23EF">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14:paraId="176EE967">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14:paraId="0AE3FAFC">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14:paraId="14F11482">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14:paraId="08202558">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lang w:val="en-US" w:eastAsia="zh-CN"/>
        </w:rPr>
      </w:pPr>
    </w:p>
    <w:p w14:paraId="05C1C270">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14:paraId="011D3E1D">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bookmarkStart w:id="0" w:name="_Toc26062"/>
      <w:bookmarkStart w:id="1" w:name="_Toc20498"/>
      <w:bookmarkStart w:id="2" w:name="_Toc30037"/>
      <w:bookmarkStart w:id="3" w:name="_Toc15448"/>
      <w:bookmarkStart w:id="4" w:name="_Toc18381"/>
      <w:bookmarkStart w:id="5" w:name="_Toc14466"/>
      <w:bookmarkStart w:id="6" w:name="_Hlk101167615"/>
    </w:p>
    <w:p w14:paraId="6C82966F">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14:paraId="44D3FADF">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14:paraId="73EA578E">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14:paraId="1F605A0D">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lang w:val="en-US" w:eastAsia="zh-CN"/>
        </w:rPr>
      </w:pPr>
    </w:p>
    <w:p w14:paraId="616DCB42">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14:paraId="1C1F2EF7">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荔浦市人民政府</w:t>
      </w:r>
      <w:bookmarkEnd w:id="0"/>
      <w:bookmarkEnd w:id="1"/>
      <w:bookmarkEnd w:id="2"/>
      <w:bookmarkEnd w:id="3"/>
      <w:bookmarkEnd w:id="4"/>
      <w:bookmarkEnd w:id="5"/>
    </w:p>
    <w:bookmarkEnd w:id="6"/>
    <w:p w14:paraId="0F08F522">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二〇二五年八月</w:t>
      </w:r>
    </w:p>
    <w:p w14:paraId="6588FF0A">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outlineLvl w:val="0"/>
        <w:rPr>
          <w:rFonts w:hint="default" w:ascii="Times New Roman" w:hAnsi="Times New Roman" w:eastAsia="黑体" w:cs="Times New Roman"/>
          <w:b w:val="0"/>
          <w:bCs w:val="0"/>
          <w:color w:val="auto"/>
          <w:sz w:val="32"/>
          <w:szCs w:val="40"/>
          <w:lang w:val="en-US" w:eastAsia="zh-CN"/>
        </w:rPr>
        <w:sectPr>
          <w:footerReference r:id="rId5" w:type="default"/>
          <w:footerReference r:id="rId6" w:type="even"/>
          <w:pgSz w:w="11905" w:h="16838"/>
          <w:pgMar w:top="2098" w:right="1474" w:bottom="1984" w:left="1587" w:header="850" w:footer="1417" w:gutter="0"/>
          <w:pgBorders>
            <w:top w:val="none" w:sz="0" w:space="0"/>
            <w:left w:val="none" w:sz="0" w:space="0"/>
            <w:bottom w:val="none" w:sz="0" w:space="0"/>
            <w:right w:val="none" w:sz="0" w:space="0"/>
          </w:pgBorders>
          <w:pgNumType w:fmt="decimal" w:start="1"/>
          <w:cols w:space="0" w:num="1"/>
          <w:rtlGutter w:val="0"/>
          <w:docGrid w:type="linesAndChars" w:linePitch="579" w:charSpace="-849"/>
        </w:sectPr>
      </w:pPr>
      <w:bookmarkStart w:id="7" w:name="_Toc12762"/>
      <w:bookmarkStart w:id="8" w:name="_Toc8101"/>
      <w:bookmarkStart w:id="9" w:name="_Toc19344"/>
      <w:bookmarkStart w:id="10" w:name="_Toc21394"/>
    </w:p>
    <w:p w14:paraId="6350DD97">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黑体" w:hAnsi="黑体" w:eastAsia="黑体" w:cs="黑体"/>
          <w:b/>
          <w:bCs/>
          <w:sz w:val="44"/>
          <w:lang w:val="en-US" w:eastAsia="zh-CN"/>
        </w:rPr>
      </w:pPr>
      <w:bookmarkStart w:id="11" w:name="_Toc3354"/>
      <w:r>
        <w:rPr>
          <w:rFonts w:hint="default" w:ascii="黑体" w:hAnsi="黑体" w:eastAsia="黑体" w:cs="黑体"/>
          <w:b/>
          <w:bCs/>
          <w:sz w:val="44"/>
          <w:lang w:val="en-US" w:eastAsia="zh-CN"/>
        </w:rPr>
        <w:t xml:space="preserve">前 </w:t>
      </w:r>
      <w:r>
        <w:rPr>
          <w:rFonts w:hint="eastAsia" w:ascii="黑体" w:hAnsi="黑体" w:eastAsia="黑体" w:cs="黑体"/>
          <w:b/>
          <w:bCs/>
          <w:sz w:val="44"/>
          <w:lang w:val="en-US" w:eastAsia="zh-CN"/>
        </w:rPr>
        <w:t xml:space="preserve"> </w:t>
      </w:r>
      <w:r>
        <w:rPr>
          <w:rFonts w:hint="default" w:ascii="黑体" w:hAnsi="黑体" w:eastAsia="黑体" w:cs="黑体"/>
          <w:b/>
          <w:bCs/>
          <w:sz w:val="44"/>
          <w:lang w:val="en-US" w:eastAsia="zh-CN"/>
        </w:rPr>
        <w:t>言</w:t>
      </w:r>
      <w:bookmarkEnd w:id="7"/>
      <w:bookmarkEnd w:id="8"/>
      <w:bookmarkEnd w:id="9"/>
      <w:bookmarkEnd w:id="10"/>
      <w:bookmarkEnd w:id="11"/>
    </w:p>
    <w:p w14:paraId="0127128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为全面贯彻落实《自然资源部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中央农村工作领导小组办公室关于学习运用</w:t>
      </w:r>
      <w:r>
        <w:rPr>
          <w:rFonts w:hint="eastAsia" w:ascii="仿宋" w:hAnsi="仿宋" w:eastAsia="仿宋" w:cs="仿宋"/>
          <w:sz w:val="32"/>
          <w:szCs w:val="32"/>
          <w:lang w:eastAsia="zh-CN"/>
        </w:rPr>
        <w:t>“</w:t>
      </w:r>
      <w:r>
        <w:rPr>
          <w:rFonts w:hint="eastAsia" w:ascii="仿宋" w:hAnsi="仿宋" w:eastAsia="仿宋" w:cs="仿宋"/>
          <w:sz w:val="32"/>
          <w:szCs w:val="32"/>
        </w:rPr>
        <w:t>千万工程</w:t>
      </w:r>
      <w:r>
        <w:rPr>
          <w:rFonts w:hint="eastAsia" w:ascii="仿宋" w:hAnsi="仿宋" w:eastAsia="仿宋" w:cs="仿宋"/>
          <w:sz w:val="32"/>
          <w:szCs w:val="32"/>
          <w:lang w:eastAsia="zh-CN"/>
        </w:rPr>
        <w:t>”</w:t>
      </w:r>
      <w:r>
        <w:rPr>
          <w:rFonts w:hint="eastAsia" w:ascii="仿宋" w:hAnsi="仿宋" w:eastAsia="仿宋" w:cs="仿宋"/>
          <w:sz w:val="32"/>
          <w:szCs w:val="32"/>
        </w:rPr>
        <w:t>经验提高村庄规划编制质量和实效的通知》（自然资发〔2024〕1号）和《广西壮族自治区自然资源厅</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中共广西壮族自治区委员会农村工作领导小组办公室关于学习运用</w:t>
      </w:r>
      <w:r>
        <w:rPr>
          <w:rFonts w:hint="eastAsia" w:ascii="仿宋" w:hAnsi="仿宋" w:eastAsia="仿宋" w:cs="仿宋"/>
          <w:sz w:val="32"/>
          <w:szCs w:val="32"/>
          <w:lang w:eastAsia="zh-CN"/>
        </w:rPr>
        <w:t>“</w:t>
      </w:r>
      <w:r>
        <w:rPr>
          <w:rFonts w:hint="eastAsia" w:ascii="仿宋" w:hAnsi="仿宋" w:eastAsia="仿宋" w:cs="仿宋"/>
          <w:sz w:val="32"/>
          <w:szCs w:val="32"/>
        </w:rPr>
        <w:t>千万工程</w:t>
      </w:r>
      <w:r>
        <w:rPr>
          <w:rFonts w:hint="eastAsia" w:ascii="仿宋" w:hAnsi="仿宋" w:eastAsia="仿宋" w:cs="仿宋"/>
          <w:sz w:val="32"/>
          <w:szCs w:val="32"/>
          <w:lang w:eastAsia="zh-CN"/>
        </w:rPr>
        <w:t>”</w:t>
      </w:r>
      <w:r>
        <w:rPr>
          <w:rFonts w:hint="eastAsia" w:ascii="仿宋" w:hAnsi="仿宋" w:eastAsia="仿宋" w:cs="仿宋"/>
          <w:sz w:val="32"/>
          <w:szCs w:val="32"/>
        </w:rPr>
        <w:t>经验做好2024年村庄规划编制实施工作的通知》（桂自然资发〔2024〕16号）等文件要求，</w:t>
      </w:r>
      <w:r>
        <w:rPr>
          <w:rFonts w:hint="eastAsia" w:ascii="仿宋" w:hAnsi="仿宋" w:eastAsia="仿宋" w:cs="仿宋"/>
          <w:sz w:val="32"/>
          <w:szCs w:val="32"/>
          <w:lang w:eastAsia="zh-CN"/>
        </w:rPr>
        <w:t>荔浦市结合市域村庄发展实际，积极推进乡村地区空间规划管理全覆盖工作，制定了《荔浦市乡村地区“通则式”规划管理规定</w:t>
      </w:r>
      <w:r>
        <w:rPr>
          <w:rFonts w:hint="eastAsia" w:ascii="仿宋" w:hAnsi="仿宋" w:cs="仿宋"/>
          <w:sz w:val="32"/>
          <w:szCs w:val="32"/>
          <w:lang w:eastAsia="zh-CN"/>
        </w:rPr>
        <w:t>（试行）</w:t>
      </w:r>
      <w:r>
        <w:rPr>
          <w:rFonts w:hint="eastAsia" w:ascii="仿宋" w:hAnsi="仿宋" w:eastAsia="仿宋" w:cs="仿宋"/>
          <w:sz w:val="32"/>
          <w:szCs w:val="32"/>
          <w:lang w:eastAsia="zh-CN"/>
        </w:rPr>
        <w:t>》（以下简称</w:t>
      </w:r>
      <w:r>
        <w:rPr>
          <w:rFonts w:hint="eastAsia" w:ascii="仿宋" w:hAnsi="仿宋" w:cs="仿宋"/>
          <w:sz w:val="32"/>
          <w:szCs w:val="32"/>
          <w:lang w:eastAsia="zh-CN"/>
        </w:rPr>
        <w:t>《</w:t>
      </w:r>
      <w:r>
        <w:rPr>
          <w:rFonts w:hint="eastAsia" w:ascii="仿宋" w:hAnsi="仿宋" w:eastAsia="仿宋" w:cs="仿宋"/>
          <w:sz w:val="32"/>
          <w:szCs w:val="32"/>
          <w:lang w:eastAsia="zh-CN"/>
        </w:rPr>
        <w:t>规定</w:t>
      </w:r>
      <w:r>
        <w:rPr>
          <w:rFonts w:hint="eastAsia" w:ascii="仿宋" w:hAnsi="仿宋" w:cs="仿宋"/>
          <w:sz w:val="32"/>
          <w:szCs w:val="32"/>
          <w:lang w:eastAsia="zh-CN"/>
        </w:rPr>
        <w:t>》</w:t>
      </w:r>
      <w:r>
        <w:rPr>
          <w:rFonts w:hint="eastAsia" w:ascii="仿宋" w:hAnsi="仿宋" w:eastAsia="仿宋" w:cs="仿宋"/>
          <w:sz w:val="32"/>
          <w:szCs w:val="32"/>
          <w:lang w:eastAsia="zh-CN"/>
        </w:rPr>
        <w:t>）。</w:t>
      </w:r>
    </w:p>
    <w:p w14:paraId="7F02006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本</w:t>
      </w:r>
      <w:r>
        <w:rPr>
          <w:rFonts w:hint="eastAsia" w:ascii="仿宋" w:hAnsi="仿宋" w:cs="仿宋"/>
          <w:sz w:val="32"/>
          <w:szCs w:val="32"/>
          <w:lang w:eastAsia="zh-CN"/>
        </w:rPr>
        <w:t>《</w:t>
      </w:r>
      <w:r>
        <w:rPr>
          <w:rFonts w:hint="eastAsia" w:ascii="仿宋" w:hAnsi="仿宋" w:eastAsia="仿宋" w:cs="仿宋"/>
          <w:sz w:val="32"/>
          <w:szCs w:val="32"/>
          <w:lang w:eastAsia="zh-CN"/>
        </w:rPr>
        <w:t>规定</w:t>
      </w:r>
      <w:r>
        <w:rPr>
          <w:rFonts w:hint="eastAsia" w:ascii="仿宋" w:hAnsi="仿宋" w:cs="仿宋"/>
          <w:sz w:val="32"/>
          <w:szCs w:val="32"/>
          <w:lang w:eastAsia="zh-CN"/>
        </w:rPr>
        <w:t>》</w:t>
      </w:r>
      <w:r>
        <w:rPr>
          <w:rFonts w:hint="default" w:ascii="仿宋" w:hAnsi="仿宋" w:eastAsia="仿宋" w:cs="仿宋"/>
          <w:sz w:val="32"/>
          <w:szCs w:val="32"/>
        </w:rPr>
        <w:t>严格遵循《广西壮族自治区自然资源厅办公室关于印发〈广西壮族自治区乡村地区“通则式</w:t>
      </w:r>
      <w:r>
        <w:rPr>
          <w:rFonts w:hint="default" w:ascii="仿宋" w:hAnsi="仿宋" w:eastAsia="仿宋" w:cs="仿宋"/>
          <w:sz w:val="32"/>
          <w:szCs w:val="32"/>
          <w:lang w:eastAsia="zh-CN"/>
        </w:rPr>
        <w:t>”</w:t>
      </w:r>
      <w:r>
        <w:rPr>
          <w:rFonts w:hint="default" w:ascii="仿宋" w:hAnsi="仿宋" w:eastAsia="仿宋" w:cs="仿宋"/>
          <w:sz w:val="32"/>
          <w:szCs w:val="32"/>
        </w:rPr>
        <w:t>规划管理规定编制指引（试行）〉的通知》（桂自然资办〔2024〕196号）</w:t>
      </w:r>
      <w:r>
        <w:rPr>
          <w:rFonts w:hint="default" w:ascii="仿宋" w:hAnsi="仿宋" w:eastAsia="仿宋" w:cs="仿宋"/>
          <w:sz w:val="32"/>
          <w:szCs w:val="32"/>
          <w:lang w:val="en-US" w:eastAsia="zh-CN"/>
        </w:rPr>
        <w:t>的</w:t>
      </w:r>
      <w:r>
        <w:rPr>
          <w:rFonts w:hint="default" w:ascii="仿宋" w:hAnsi="仿宋" w:eastAsia="仿宋" w:cs="仿宋"/>
          <w:sz w:val="32"/>
          <w:szCs w:val="32"/>
        </w:rPr>
        <w:t>文件要求，</w:t>
      </w:r>
      <w:r>
        <w:rPr>
          <w:rFonts w:hint="default" w:ascii="仿宋" w:hAnsi="仿宋" w:eastAsia="仿宋" w:cs="仿宋"/>
          <w:sz w:val="32"/>
          <w:szCs w:val="32"/>
          <w:lang w:val="en-US" w:eastAsia="zh-CN"/>
        </w:rPr>
        <w:t>作为城镇开发边界外</w:t>
      </w:r>
      <w:r>
        <w:rPr>
          <w:rFonts w:hint="default" w:ascii="仿宋" w:hAnsi="仿宋" w:eastAsia="仿宋" w:cs="仿宋"/>
          <w:sz w:val="32"/>
          <w:szCs w:val="32"/>
        </w:rPr>
        <w:t>未编制村庄规划地区</w:t>
      </w:r>
      <w:r>
        <w:rPr>
          <w:rFonts w:hint="default" w:ascii="仿宋" w:hAnsi="仿宋" w:eastAsia="仿宋" w:cs="仿宋"/>
          <w:sz w:val="32"/>
          <w:szCs w:val="32"/>
          <w:lang w:val="en-US" w:eastAsia="zh-CN"/>
        </w:rPr>
        <w:t>开展</w:t>
      </w:r>
      <w:r>
        <w:rPr>
          <w:rFonts w:hint="default" w:ascii="仿宋" w:hAnsi="仿宋" w:eastAsia="仿宋" w:cs="仿宋"/>
          <w:sz w:val="32"/>
          <w:szCs w:val="32"/>
        </w:rPr>
        <w:t>空间规划管理</w:t>
      </w:r>
      <w:r>
        <w:rPr>
          <w:rFonts w:hint="default" w:ascii="仿宋" w:hAnsi="仿宋" w:eastAsia="仿宋" w:cs="仿宋"/>
          <w:sz w:val="32"/>
          <w:szCs w:val="32"/>
          <w:lang w:eastAsia="zh-CN"/>
        </w:rPr>
        <w:t>、</w:t>
      </w:r>
      <w:r>
        <w:rPr>
          <w:rFonts w:hint="default" w:ascii="仿宋" w:hAnsi="仿宋" w:eastAsia="仿宋" w:cs="仿宋"/>
          <w:sz w:val="32"/>
          <w:szCs w:val="32"/>
          <w:lang w:val="en-US" w:eastAsia="zh-CN"/>
        </w:rPr>
        <w:t>核发乡村建设</w:t>
      </w:r>
      <w:r>
        <w:rPr>
          <w:rFonts w:hint="default" w:ascii="仿宋" w:hAnsi="仿宋" w:eastAsia="仿宋" w:cs="仿宋"/>
          <w:sz w:val="32"/>
          <w:szCs w:val="32"/>
        </w:rPr>
        <w:t>规划许可</w:t>
      </w:r>
      <w:r>
        <w:rPr>
          <w:rFonts w:hint="default" w:ascii="仿宋" w:hAnsi="仿宋" w:eastAsia="仿宋" w:cs="仿宋"/>
          <w:sz w:val="32"/>
          <w:szCs w:val="32"/>
          <w:lang w:val="en-US" w:eastAsia="zh-CN"/>
        </w:rPr>
        <w:t>的依据。</w:t>
      </w:r>
      <w:r>
        <w:rPr>
          <w:rFonts w:hint="default" w:ascii="仿宋" w:hAnsi="仿宋" w:eastAsia="仿宋" w:cs="仿宋"/>
          <w:sz w:val="32"/>
          <w:szCs w:val="32"/>
        </w:rPr>
        <w:t>已编制村庄规划并经法定程序批准的地区，按照经法定程序批准的村庄规划执行。</w:t>
      </w:r>
    </w:p>
    <w:p w14:paraId="54BDA21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rPr>
        <w:t>在制定</w:t>
      </w:r>
      <w:r>
        <w:rPr>
          <w:rFonts w:hint="default" w:ascii="仿宋" w:hAnsi="仿宋" w:eastAsia="仿宋" w:cs="仿宋"/>
          <w:sz w:val="32"/>
          <w:szCs w:val="32"/>
          <w:lang w:val="en-US" w:eastAsia="zh-CN"/>
        </w:rPr>
        <w:t>规定</w:t>
      </w:r>
      <w:r>
        <w:rPr>
          <w:rFonts w:hint="default" w:ascii="仿宋" w:hAnsi="仿宋" w:eastAsia="仿宋" w:cs="仿宋"/>
          <w:sz w:val="32"/>
          <w:szCs w:val="32"/>
        </w:rPr>
        <w:t>的过程中，</w:t>
      </w:r>
      <w:r>
        <w:rPr>
          <w:rFonts w:hint="default" w:ascii="仿宋" w:hAnsi="仿宋" w:eastAsia="仿宋" w:cs="仿宋"/>
          <w:sz w:val="32"/>
          <w:szCs w:val="32"/>
          <w:lang w:eastAsia="zh-CN"/>
        </w:rPr>
        <w:t>荔浦市</w:t>
      </w:r>
      <w:r>
        <w:rPr>
          <w:rFonts w:hint="default" w:ascii="仿宋" w:hAnsi="仿宋" w:eastAsia="仿宋" w:cs="仿宋"/>
          <w:sz w:val="32"/>
          <w:szCs w:val="32"/>
        </w:rPr>
        <w:t>广泛征集了社会公众、相关行业主管部门以及专家学者的宝贵意见。</w:t>
      </w:r>
      <w:r>
        <w:rPr>
          <w:rFonts w:hint="default" w:ascii="仿宋" w:hAnsi="仿宋" w:eastAsia="仿宋" w:cs="仿宋"/>
          <w:sz w:val="32"/>
          <w:szCs w:val="32"/>
          <w:lang w:eastAsia="zh-CN"/>
        </w:rPr>
        <w:t>同时，</w:t>
      </w:r>
      <w:r>
        <w:rPr>
          <w:rFonts w:hint="default" w:ascii="仿宋" w:hAnsi="仿宋" w:eastAsia="仿宋" w:cs="仿宋"/>
          <w:sz w:val="32"/>
          <w:szCs w:val="32"/>
        </w:rPr>
        <w:t>坚持问题导向，充分尊重村民意愿，力求内容简洁明了、实用可行，</w:t>
      </w:r>
      <w:r>
        <w:rPr>
          <w:rFonts w:hint="default" w:ascii="仿宋" w:hAnsi="仿宋" w:eastAsia="仿宋" w:cs="仿宋"/>
          <w:sz w:val="32"/>
          <w:szCs w:val="32"/>
          <w:lang w:val="en-US" w:eastAsia="zh-CN"/>
        </w:rPr>
        <w:t>充分匹配</w:t>
      </w:r>
      <w:r>
        <w:rPr>
          <w:rFonts w:hint="default" w:ascii="仿宋" w:hAnsi="仿宋" w:eastAsia="仿宋" w:cs="仿宋"/>
          <w:sz w:val="32"/>
          <w:szCs w:val="32"/>
        </w:rPr>
        <w:t>本</w:t>
      </w:r>
      <w:r>
        <w:rPr>
          <w:rFonts w:hint="default" w:ascii="仿宋" w:hAnsi="仿宋" w:eastAsia="仿宋" w:cs="仿宋"/>
          <w:sz w:val="32"/>
          <w:szCs w:val="32"/>
          <w:lang w:eastAsia="zh-CN"/>
        </w:rPr>
        <w:t>市</w:t>
      </w:r>
      <w:r>
        <w:rPr>
          <w:rFonts w:hint="default" w:ascii="仿宋" w:hAnsi="仿宋" w:eastAsia="仿宋" w:cs="仿宋"/>
          <w:sz w:val="32"/>
          <w:szCs w:val="32"/>
        </w:rPr>
        <w:t>乡村发展的实际需求。</w:t>
      </w:r>
    </w:p>
    <w:p w14:paraId="14EE27A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sectPr>
          <w:footerReference r:id="rId9" w:type="first"/>
          <w:footerReference r:id="rId7" w:type="default"/>
          <w:footerReference r:id="rId8" w:type="even"/>
          <w:pgSz w:w="11905" w:h="16838"/>
          <w:pgMar w:top="2098" w:right="1474" w:bottom="1984" w:left="1587" w:header="850" w:footer="1417" w:gutter="0"/>
          <w:pgBorders>
            <w:top w:val="none" w:sz="0" w:space="0"/>
            <w:left w:val="none" w:sz="0" w:space="0"/>
            <w:bottom w:val="none" w:sz="0" w:space="0"/>
            <w:right w:val="none" w:sz="0" w:space="0"/>
          </w:pgBorders>
          <w:pgNumType w:fmt="decimal" w:start="1"/>
          <w:cols w:space="0" w:num="1"/>
          <w:rtlGutter w:val="0"/>
          <w:docGrid w:type="linesAndChars" w:linePitch="579" w:charSpace="-849"/>
        </w:sectPr>
      </w:pPr>
      <w:r>
        <w:rPr>
          <w:rFonts w:hint="default" w:ascii="仿宋" w:hAnsi="仿宋" w:eastAsia="仿宋" w:cs="仿宋"/>
          <w:sz w:val="32"/>
          <w:szCs w:val="32"/>
          <w:lang w:val="en-US" w:eastAsia="zh-CN"/>
        </w:rPr>
        <w:t>随着乡村建设实践的持续深入拓展，受政策调整、产业升级、</w:t>
      </w:r>
    </w:p>
    <w:p w14:paraId="7E38C8C6">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textAlignment w:val="auto"/>
        <w:rPr>
          <w:rFonts w:hint="default" w:ascii="仿宋" w:hAnsi="仿宋" w:eastAsia="仿宋" w:cs="仿宋"/>
          <w:sz w:val="32"/>
          <w:szCs w:val="32"/>
        </w:rPr>
      </w:pPr>
      <w:r>
        <w:rPr>
          <w:rFonts w:hint="default" w:ascii="仿宋" w:hAnsi="仿宋" w:eastAsia="仿宋" w:cs="仿宋"/>
          <w:sz w:val="32"/>
          <w:szCs w:val="32"/>
          <w:lang w:val="en-US" w:eastAsia="zh-CN"/>
        </w:rPr>
        <w:t>村民需求变化等因素影响，本</w:t>
      </w:r>
      <w:r>
        <w:rPr>
          <w:rFonts w:hint="eastAsia" w:ascii="仿宋" w:hAnsi="仿宋" w:cs="仿宋"/>
          <w:sz w:val="32"/>
          <w:szCs w:val="32"/>
          <w:lang w:eastAsia="zh-CN"/>
        </w:rPr>
        <w:t>《</w:t>
      </w:r>
      <w:r>
        <w:rPr>
          <w:rFonts w:hint="eastAsia" w:ascii="仿宋" w:hAnsi="仿宋" w:eastAsia="仿宋" w:cs="仿宋"/>
          <w:sz w:val="32"/>
          <w:szCs w:val="32"/>
          <w:lang w:eastAsia="zh-CN"/>
        </w:rPr>
        <w:t>规定</w:t>
      </w:r>
      <w:r>
        <w:rPr>
          <w:rFonts w:hint="eastAsia" w:ascii="仿宋" w:hAnsi="仿宋" w:cs="仿宋"/>
          <w:sz w:val="32"/>
          <w:szCs w:val="32"/>
          <w:lang w:eastAsia="zh-CN"/>
        </w:rPr>
        <w:t>》</w:t>
      </w:r>
      <w:r>
        <w:rPr>
          <w:rFonts w:hint="default" w:ascii="仿宋" w:hAnsi="仿宋" w:eastAsia="仿宋" w:cs="仿宋"/>
          <w:sz w:val="32"/>
          <w:szCs w:val="32"/>
          <w:lang w:val="en-US" w:eastAsia="zh-CN"/>
        </w:rPr>
        <w:t>在施行过程中，</w:t>
      </w:r>
      <w:r>
        <w:rPr>
          <w:rFonts w:hint="default" w:ascii="仿宋" w:hAnsi="仿宋" w:eastAsia="仿宋" w:cs="仿宋"/>
          <w:sz w:val="32"/>
          <w:szCs w:val="32"/>
        </w:rPr>
        <w:t>可能出现与现实需求不完全契合的情况。因此，</w:t>
      </w:r>
      <w:r>
        <w:rPr>
          <w:rFonts w:hint="default" w:ascii="仿宋" w:hAnsi="仿宋" w:eastAsia="仿宋" w:cs="仿宋"/>
          <w:sz w:val="32"/>
          <w:szCs w:val="32"/>
          <w:lang w:eastAsia="zh-CN"/>
        </w:rPr>
        <w:t>荔浦市</w:t>
      </w:r>
      <w:r>
        <w:rPr>
          <w:rFonts w:hint="default" w:ascii="仿宋" w:hAnsi="仿宋" w:eastAsia="仿宋" w:cs="仿宋"/>
          <w:sz w:val="32"/>
          <w:szCs w:val="32"/>
        </w:rPr>
        <w:t>将建立动态完善机制，定期梳理总结实践经验，根据本</w:t>
      </w:r>
      <w:r>
        <w:rPr>
          <w:rFonts w:hint="default" w:ascii="仿宋" w:hAnsi="仿宋" w:eastAsia="仿宋" w:cs="仿宋"/>
          <w:sz w:val="32"/>
          <w:szCs w:val="32"/>
          <w:lang w:eastAsia="zh-CN"/>
        </w:rPr>
        <w:t>市</w:t>
      </w:r>
      <w:r>
        <w:rPr>
          <w:rFonts w:hint="default" w:ascii="仿宋" w:hAnsi="仿宋" w:eastAsia="仿宋" w:cs="仿宋"/>
          <w:sz w:val="32"/>
          <w:szCs w:val="32"/>
        </w:rPr>
        <w:t>乡村发展的新趋势、新需求，及时对规定进行修订和更新，保持规定的时效性和实用性，为</w:t>
      </w:r>
      <w:r>
        <w:rPr>
          <w:rFonts w:hint="default" w:ascii="仿宋" w:hAnsi="仿宋" w:eastAsia="仿宋" w:cs="仿宋"/>
          <w:sz w:val="32"/>
          <w:szCs w:val="32"/>
          <w:lang w:eastAsia="zh-CN"/>
        </w:rPr>
        <w:t>荔浦市</w:t>
      </w:r>
      <w:r>
        <w:rPr>
          <w:rFonts w:hint="default" w:ascii="仿宋" w:hAnsi="仿宋" w:eastAsia="仿宋" w:cs="仿宋"/>
          <w:sz w:val="32"/>
          <w:szCs w:val="32"/>
        </w:rPr>
        <w:t>乡村建设规划管理工作提供更加科学有效的指导。</w:t>
      </w:r>
    </w:p>
    <w:p w14:paraId="5AF398AA">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textAlignment w:val="auto"/>
        <w:rPr>
          <w:rFonts w:hint="default" w:ascii="仿宋" w:hAnsi="仿宋" w:eastAsia="仿宋" w:cs="仿宋"/>
          <w:sz w:val="32"/>
          <w:szCs w:val="32"/>
        </w:rPr>
      </w:pPr>
    </w:p>
    <w:p w14:paraId="342182C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sectPr>
          <w:footerReference r:id="rId10" w:type="default"/>
          <w:footerReference r:id="rId11" w:type="even"/>
          <w:pgSz w:w="11905" w:h="16838"/>
          <w:pgMar w:top="2098" w:right="1474" w:bottom="1984" w:left="1587" w:header="850" w:footer="1417" w:gutter="0"/>
          <w:pgBorders>
            <w:top w:val="none" w:sz="0" w:space="0"/>
            <w:left w:val="none" w:sz="0" w:space="0"/>
            <w:bottom w:val="none" w:sz="0" w:space="0"/>
            <w:right w:val="none" w:sz="0" w:space="0"/>
          </w:pgBorders>
          <w:pgNumType w:fmt="decimal" w:start="1"/>
          <w:cols w:space="0" w:num="1"/>
          <w:rtlGutter w:val="0"/>
          <w:docGrid w:type="linesAndChars" w:linePitch="579" w:charSpace="-849"/>
        </w:sectPr>
      </w:pPr>
    </w:p>
    <w:p w14:paraId="37482A6B">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bCs/>
          <w:sz w:val="44"/>
          <w:lang w:val="en-US" w:eastAsia="zh-CN"/>
        </w:rPr>
      </w:pPr>
      <w:bookmarkStart w:id="12" w:name="_Toc18400"/>
      <w:r>
        <w:rPr>
          <w:rFonts w:hint="eastAsia" w:ascii="黑体" w:hAnsi="黑体" w:eastAsia="黑体" w:cs="黑体"/>
          <w:b/>
          <w:bCs/>
          <w:sz w:val="44"/>
          <w:lang w:val="en-US" w:eastAsia="zh-CN"/>
        </w:rPr>
        <w:t>目  录</w:t>
      </w:r>
      <w:bookmarkEnd w:id="12"/>
    </w:p>
    <w:p w14:paraId="4A09BDCF">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rPr>
      </w:pPr>
      <w:r>
        <w:rPr>
          <w:rFonts w:hint="eastAsia" w:ascii="仿宋" w:hAnsi="仿宋" w:eastAsia="仿宋" w:cs="仿宋"/>
          <w:szCs w:val="32"/>
        </w:rPr>
        <w:fldChar w:fldCharType="begin"/>
      </w:r>
      <w:r>
        <w:rPr>
          <w:rFonts w:hint="eastAsia" w:ascii="仿宋" w:hAnsi="仿宋" w:eastAsia="仿宋" w:cs="仿宋"/>
          <w:szCs w:val="32"/>
        </w:rPr>
        <w:instrText xml:space="preserve">TOC \o "1-2" \h \u </w:instrText>
      </w:r>
      <w:r>
        <w:rPr>
          <w:rFonts w:hint="eastAsia" w:ascii="仿宋" w:hAnsi="仿宋" w:eastAsia="仿宋" w:cs="仿宋"/>
          <w:szCs w:val="32"/>
        </w:rPr>
        <w:fldChar w:fldCharType="separate"/>
      </w:r>
      <w:r>
        <w:rPr>
          <w:rFonts w:hint="eastAsia" w:ascii="黑体" w:hAnsi="黑体" w:eastAsia="黑体" w:cs="黑体"/>
          <w:szCs w:val="32"/>
        </w:rPr>
        <w:fldChar w:fldCharType="begin"/>
      </w:r>
      <w:r>
        <w:rPr>
          <w:rFonts w:hint="eastAsia" w:ascii="黑体" w:hAnsi="黑体" w:eastAsia="黑体" w:cs="黑体"/>
          <w:szCs w:val="32"/>
        </w:rPr>
        <w:instrText xml:space="preserve"> HYPERLINK \l _Toc31389 </w:instrText>
      </w:r>
      <w:r>
        <w:rPr>
          <w:rFonts w:hint="eastAsia" w:ascii="黑体" w:hAnsi="黑体" w:eastAsia="黑体" w:cs="黑体"/>
          <w:szCs w:val="32"/>
        </w:rPr>
        <w:fldChar w:fldCharType="separate"/>
      </w:r>
      <w:r>
        <w:rPr>
          <w:rFonts w:hint="eastAsia" w:ascii="黑体" w:hAnsi="黑体" w:eastAsia="黑体" w:cs="黑体"/>
          <w:bCs/>
          <w:lang w:val="en-US" w:eastAsia="zh-CN"/>
        </w:rPr>
        <w:t>第一章 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_Toc31389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黑体" w:hAnsi="黑体" w:eastAsia="黑体" w:cs="黑体"/>
          <w:szCs w:val="32"/>
        </w:rPr>
        <w:fldChar w:fldCharType="end"/>
      </w:r>
    </w:p>
    <w:p w14:paraId="127414FC">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rPr>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_Toc8295 </w:instrText>
      </w:r>
      <w:r>
        <w:rPr>
          <w:rFonts w:hint="eastAsia" w:ascii="黑体" w:hAnsi="黑体" w:eastAsia="黑体" w:cs="黑体"/>
          <w:szCs w:val="32"/>
        </w:rPr>
        <w:fldChar w:fldCharType="separate"/>
      </w:r>
      <w:r>
        <w:rPr>
          <w:rFonts w:hint="eastAsia" w:ascii="黑体" w:hAnsi="黑体" w:eastAsia="黑体" w:cs="黑体"/>
          <w:bCs/>
          <w:lang w:val="en-US" w:eastAsia="zh-CN"/>
        </w:rPr>
        <w:t>第二章 村庄概况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_Toc8295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黑体" w:hAnsi="黑体" w:eastAsia="黑体" w:cs="黑体"/>
          <w:szCs w:val="32"/>
        </w:rPr>
        <w:fldChar w:fldCharType="end"/>
      </w:r>
    </w:p>
    <w:p w14:paraId="3EE494F7">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rPr>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_Toc32632 </w:instrText>
      </w:r>
      <w:r>
        <w:rPr>
          <w:rFonts w:hint="eastAsia" w:ascii="黑体" w:hAnsi="黑体" w:eastAsia="黑体" w:cs="黑体"/>
          <w:szCs w:val="32"/>
        </w:rPr>
        <w:fldChar w:fldCharType="separate"/>
      </w:r>
      <w:r>
        <w:rPr>
          <w:rFonts w:hint="eastAsia" w:ascii="黑体" w:hAnsi="黑体" w:eastAsia="黑体" w:cs="黑体"/>
          <w:bCs/>
          <w:lang w:val="en-US" w:eastAsia="zh-CN"/>
        </w:rPr>
        <w:t>第三章 管控要求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_Toc32632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黑体" w:hAnsi="黑体" w:eastAsia="黑体" w:cs="黑体"/>
          <w:szCs w:val="32"/>
        </w:rPr>
        <w:fldChar w:fldCharType="end"/>
      </w:r>
    </w:p>
    <w:p w14:paraId="76542837">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_Toc4517 </w:instrText>
      </w:r>
      <w:r>
        <w:rPr>
          <w:rFonts w:hint="eastAsia" w:ascii="仿宋" w:hAnsi="仿宋" w:eastAsia="仿宋" w:cs="仿宋"/>
          <w:szCs w:val="32"/>
        </w:rPr>
        <w:fldChar w:fldCharType="separate"/>
      </w:r>
      <w:r>
        <w:rPr>
          <w:rFonts w:hint="eastAsia" w:ascii="仿宋" w:hAnsi="仿宋" w:eastAsia="仿宋" w:cs="仿宋"/>
        </w:rPr>
        <w:t>第一节</w:t>
      </w:r>
      <w:r>
        <w:rPr>
          <w:rFonts w:hint="eastAsia" w:ascii="仿宋" w:hAnsi="仿宋" w:eastAsia="仿宋" w:cs="仿宋"/>
          <w:lang w:val="en-US" w:eastAsia="zh-CN"/>
        </w:rPr>
        <w:t xml:space="preserve"> </w:t>
      </w:r>
      <w:r>
        <w:rPr>
          <w:rFonts w:hint="eastAsia" w:ascii="仿宋" w:hAnsi="仿宋" w:eastAsia="仿宋" w:cs="仿宋"/>
        </w:rPr>
        <w:t>底线管控</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_Toc4517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szCs w:val="32"/>
        </w:rPr>
        <w:fldChar w:fldCharType="end"/>
      </w:r>
    </w:p>
    <w:p w14:paraId="7DD81B70">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_Toc10993 </w:instrText>
      </w:r>
      <w:r>
        <w:rPr>
          <w:rFonts w:hint="eastAsia" w:ascii="仿宋" w:hAnsi="仿宋" w:eastAsia="仿宋" w:cs="仿宋"/>
          <w:szCs w:val="32"/>
        </w:rPr>
        <w:fldChar w:fldCharType="separate"/>
      </w:r>
      <w:r>
        <w:rPr>
          <w:rFonts w:hint="eastAsia" w:ascii="仿宋" w:hAnsi="仿宋" w:eastAsia="仿宋" w:cs="仿宋"/>
        </w:rPr>
        <w:t>第二节</w:t>
      </w:r>
      <w:r>
        <w:rPr>
          <w:rFonts w:hint="eastAsia" w:ascii="仿宋" w:hAnsi="仿宋" w:eastAsia="仿宋" w:cs="仿宋"/>
          <w:lang w:val="en-US" w:eastAsia="zh-CN"/>
        </w:rPr>
        <w:t xml:space="preserve"> </w:t>
      </w:r>
      <w:r>
        <w:rPr>
          <w:rFonts w:hint="eastAsia" w:ascii="仿宋" w:hAnsi="仿宋" w:eastAsia="仿宋" w:cs="仿宋"/>
        </w:rPr>
        <w:t>用地布局</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_Toc10993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szCs w:val="32"/>
        </w:rPr>
        <w:fldChar w:fldCharType="end"/>
      </w:r>
    </w:p>
    <w:p w14:paraId="6E2D22C5">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_Toc5571 </w:instrText>
      </w:r>
      <w:r>
        <w:rPr>
          <w:rFonts w:hint="eastAsia" w:ascii="仿宋" w:hAnsi="仿宋" w:eastAsia="仿宋" w:cs="仿宋"/>
          <w:szCs w:val="32"/>
        </w:rPr>
        <w:fldChar w:fldCharType="separate"/>
      </w:r>
      <w:r>
        <w:rPr>
          <w:rFonts w:hint="eastAsia" w:ascii="仿宋" w:hAnsi="仿宋" w:eastAsia="仿宋" w:cs="仿宋"/>
        </w:rPr>
        <w:t>第三节</w:t>
      </w:r>
      <w:r>
        <w:rPr>
          <w:rFonts w:hint="eastAsia" w:ascii="仿宋" w:hAnsi="仿宋" w:eastAsia="仿宋" w:cs="仿宋"/>
          <w:lang w:val="en-US" w:eastAsia="zh-CN"/>
        </w:rPr>
        <w:t xml:space="preserve"> </w:t>
      </w:r>
      <w:r>
        <w:rPr>
          <w:rFonts w:hint="eastAsia" w:ascii="仿宋" w:hAnsi="仿宋" w:eastAsia="仿宋" w:cs="仿宋"/>
        </w:rPr>
        <w:t>建设控制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_Toc5571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szCs w:val="32"/>
        </w:rPr>
        <w:fldChar w:fldCharType="end"/>
      </w:r>
    </w:p>
    <w:p w14:paraId="0A7A0167">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_Toc32415 </w:instrText>
      </w:r>
      <w:r>
        <w:rPr>
          <w:rFonts w:hint="eastAsia" w:ascii="仿宋" w:hAnsi="仿宋" w:eastAsia="仿宋" w:cs="仿宋"/>
          <w:szCs w:val="32"/>
        </w:rPr>
        <w:fldChar w:fldCharType="separate"/>
      </w:r>
      <w:r>
        <w:rPr>
          <w:rFonts w:hint="eastAsia" w:ascii="仿宋" w:hAnsi="仿宋" w:eastAsia="仿宋" w:cs="仿宋"/>
        </w:rPr>
        <w:t>第四节 其他管控指引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_Toc32415 \h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r>
        <w:rPr>
          <w:rFonts w:hint="eastAsia" w:ascii="仿宋" w:hAnsi="仿宋" w:eastAsia="仿宋" w:cs="仿宋"/>
          <w:szCs w:val="32"/>
        </w:rPr>
        <w:fldChar w:fldCharType="end"/>
      </w:r>
    </w:p>
    <w:p w14:paraId="7E13D540">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szCs w:val="32"/>
        </w:rPr>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_Toc8132 </w:instrText>
      </w:r>
      <w:r>
        <w:rPr>
          <w:rFonts w:hint="eastAsia" w:ascii="黑体" w:hAnsi="黑体" w:eastAsia="黑体" w:cs="黑体"/>
          <w:szCs w:val="32"/>
        </w:rPr>
        <w:fldChar w:fldCharType="separate"/>
      </w:r>
      <w:r>
        <w:rPr>
          <w:rFonts w:hint="default" w:ascii="黑体" w:hAnsi="黑体" w:eastAsia="黑体" w:cs="黑体"/>
          <w:szCs w:val="32"/>
          <w:lang w:val="en-US" w:eastAsia="zh-CN"/>
        </w:rPr>
        <w:t>第四章 重点地块图则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_Toc8132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黑体" w:hAnsi="黑体" w:eastAsia="黑体" w:cs="黑体"/>
          <w:szCs w:val="32"/>
        </w:rPr>
        <w:fldChar w:fldCharType="end"/>
      </w:r>
    </w:p>
    <w:p w14:paraId="04E97BC5">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szCs w:val="32"/>
        </w:rPr>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_Toc25113 </w:instrText>
      </w:r>
      <w:r>
        <w:rPr>
          <w:rFonts w:hint="eastAsia" w:ascii="黑体" w:hAnsi="黑体" w:eastAsia="黑体" w:cs="黑体"/>
          <w:szCs w:val="32"/>
        </w:rPr>
        <w:fldChar w:fldCharType="separate"/>
      </w:r>
      <w:r>
        <w:rPr>
          <w:rFonts w:hint="default" w:ascii="黑体" w:hAnsi="黑体" w:eastAsia="黑体" w:cs="黑体"/>
          <w:szCs w:val="32"/>
          <w:lang w:val="en-US" w:eastAsia="zh-CN"/>
        </w:rPr>
        <w:t>第五章 实施管理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_Toc25113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黑体" w:hAnsi="黑体" w:eastAsia="黑体" w:cs="黑体"/>
          <w:szCs w:val="32"/>
        </w:rPr>
        <w:fldChar w:fldCharType="end"/>
      </w:r>
    </w:p>
    <w:p w14:paraId="199E34AA">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szCs w:val="32"/>
        </w:rPr>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_Toc16126 </w:instrText>
      </w:r>
      <w:r>
        <w:rPr>
          <w:rFonts w:hint="eastAsia" w:ascii="黑体" w:hAnsi="黑体" w:eastAsia="黑体" w:cs="黑体"/>
          <w:szCs w:val="32"/>
        </w:rPr>
        <w:fldChar w:fldCharType="separate"/>
      </w:r>
      <w:r>
        <w:rPr>
          <w:rFonts w:hint="default" w:ascii="黑体" w:hAnsi="黑体" w:eastAsia="黑体" w:cs="黑体"/>
          <w:szCs w:val="32"/>
          <w:lang w:val="en-US" w:eastAsia="zh-CN"/>
        </w:rPr>
        <w:t>第六章 附则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_Toc16126 \h </w:instrText>
      </w:r>
      <w:r>
        <w:rPr>
          <w:rFonts w:hint="eastAsia" w:ascii="仿宋" w:hAnsi="仿宋" w:eastAsia="仿宋" w:cs="仿宋"/>
        </w:rPr>
        <w:fldChar w:fldCharType="separate"/>
      </w:r>
      <w:r>
        <w:rPr>
          <w:rFonts w:hint="eastAsia" w:ascii="仿宋" w:hAnsi="仿宋" w:eastAsia="仿宋" w:cs="仿宋"/>
        </w:rPr>
        <w:t>32</w:t>
      </w:r>
      <w:r>
        <w:rPr>
          <w:rFonts w:hint="eastAsia" w:ascii="仿宋" w:hAnsi="仿宋" w:eastAsia="仿宋" w:cs="仿宋"/>
        </w:rPr>
        <w:fldChar w:fldCharType="end"/>
      </w:r>
      <w:r>
        <w:rPr>
          <w:rFonts w:hint="eastAsia" w:ascii="黑体" w:hAnsi="黑体" w:eastAsia="黑体" w:cs="黑体"/>
          <w:szCs w:val="32"/>
        </w:rPr>
        <w:fldChar w:fldCharType="end"/>
      </w:r>
    </w:p>
    <w:p w14:paraId="6D1F9B0D">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szCs w:val="32"/>
        </w:rPr>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_Toc15632 </w:instrText>
      </w:r>
      <w:r>
        <w:rPr>
          <w:rFonts w:hint="eastAsia" w:ascii="黑体" w:hAnsi="黑体" w:eastAsia="黑体" w:cs="黑体"/>
          <w:szCs w:val="32"/>
        </w:rPr>
        <w:fldChar w:fldCharType="separate"/>
      </w:r>
      <w:r>
        <w:rPr>
          <w:rFonts w:hint="default" w:ascii="黑体" w:hAnsi="黑体" w:eastAsia="黑体" w:cs="黑体"/>
          <w:szCs w:val="32"/>
          <w:lang w:val="en-US" w:eastAsia="zh-CN"/>
        </w:rPr>
        <w:t>附录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_Toc15632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黑体" w:hAnsi="黑体" w:eastAsia="黑体" w:cs="黑体"/>
          <w:szCs w:val="32"/>
        </w:rPr>
        <w:fldChar w:fldCharType="end"/>
      </w:r>
    </w:p>
    <w:p w14:paraId="2A50DE5B">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_Toc17225 </w:instrText>
      </w:r>
      <w:r>
        <w:rPr>
          <w:rFonts w:hint="eastAsia" w:ascii="仿宋" w:hAnsi="仿宋" w:eastAsia="仿宋" w:cs="仿宋"/>
          <w:szCs w:val="32"/>
        </w:rPr>
        <w:fldChar w:fldCharType="separate"/>
      </w:r>
      <w:r>
        <w:rPr>
          <w:rFonts w:hint="eastAsia" w:ascii="仿宋" w:hAnsi="仿宋" w:eastAsia="仿宋" w:cs="仿宋"/>
          <w:szCs w:val="32"/>
        </w:rPr>
        <w:t>附录</w:t>
      </w:r>
      <w:r>
        <w:rPr>
          <w:rFonts w:hint="eastAsia" w:ascii="仿宋" w:hAnsi="仿宋" w:eastAsia="仿宋" w:cs="仿宋"/>
          <w:szCs w:val="32"/>
          <w:lang w:val="en-US" w:eastAsia="zh-CN"/>
        </w:rPr>
        <w:t>A</w:t>
      </w:r>
      <w:r>
        <w:rPr>
          <w:rFonts w:hint="eastAsia" w:ascii="仿宋" w:hAnsi="仿宋" w:eastAsia="仿宋" w:cs="仿宋"/>
          <w:szCs w:val="32"/>
        </w:rPr>
        <w:t>名词解释</w:t>
      </w:r>
      <w:r>
        <w:rPr>
          <w:rFonts w:hint="eastAsia" w:ascii="仿宋" w:hAnsi="仿宋" w:eastAsia="仿宋" w:cs="仿宋"/>
          <w:szCs w:val="32"/>
        </w:rPr>
        <w:tab/>
      </w:r>
      <w:r>
        <w:rPr>
          <w:rFonts w:hint="eastAsia" w:ascii="仿宋" w:hAnsi="仿宋" w:eastAsia="仿宋" w:cs="仿宋"/>
          <w:szCs w:val="32"/>
        </w:rPr>
        <w:fldChar w:fldCharType="begin"/>
      </w:r>
      <w:r>
        <w:rPr>
          <w:rFonts w:hint="eastAsia" w:ascii="仿宋" w:hAnsi="仿宋" w:eastAsia="仿宋" w:cs="仿宋"/>
          <w:szCs w:val="32"/>
        </w:rPr>
        <w:instrText xml:space="preserve"> PAGEREF _Toc17225 \h </w:instrText>
      </w:r>
      <w:r>
        <w:rPr>
          <w:rFonts w:hint="eastAsia" w:ascii="仿宋" w:hAnsi="仿宋" w:eastAsia="仿宋" w:cs="仿宋"/>
          <w:szCs w:val="32"/>
        </w:rPr>
        <w:fldChar w:fldCharType="separate"/>
      </w:r>
      <w:r>
        <w:rPr>
          <w:rFonts w:hint="eastAsia" w:ascii="仿宋" w:hAnsi="仿宋" w:eastAsia="仿宋" w:cs="仿宋"/>
          <w:szCs w:val="32"/>
        </w:rPr>
        <w:t>34</w:t>
      </w:r>
      <w:r>
        <w:rPr>
          <w:rFonts w:hint="eastAsia" w:ascii="仿宋" w:hAnsi="仿宋" w:eastAsia="仿宋" w:cs="仿宋"/>
          <w:szCs w:val="32"/>
        </w:rPr>
        <w:fldChar w:fldCharType="end"/>
      </w:r>
      <w:r>
        <w:rPr>
          <w:rFonts w:hint="eastAsia" w:ascii="仿宋" w:hAnsi="仿宋" w:eastAsia="仿宋" w:cs="仿宋"/>
          <w:szCs w:val="32"/>
        </w:rPr>
        <w:fldChar w:fldCharType="end"/>
      </w:r>
    </w:p>
    <w:p w14:paraId="551D2325">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_Toc13118 </w:instrText>
      </w:r>
      <w:r>
        <w:rPr>
          <w:rFonts w:hint="eastAsia" w:ascii="仿宋" w:hAnsi="仿宋" w:eastAsia="仿宋" w:cs="仿宋"/>
          <w:szCs w:val="32"/>
        </w:rPr>
        <w:fldChar w:fldCharType="separate"/>
      </w:r>
      <w:r>
        <w:rPr>
          <w:rFonts w:hint="default" w:ascii="仿宋" w:hAnsi="仿宋" w:eastAsia="仿宋" w:cs="仿宋"/>
          <w:szCs w:val="32"/>
        </w:rPr>
        <w:t>附录</w:t>
      </w:r>
      <w:r>
        <w:rPr>
          <w:rFonts w:hint="default" w:ascii="仿宋" w:hAnsi="仿宋" w:eastAsia="仿宋" w:cs="仿宋"/>
          <w:szCs w:val="32"/>
          <w:lang w:val="en-US" w:eastAsia="zh-CN"/>
        </w:rPr>
        <w:t>B</w:t>
      </w:r>
      <w:r>
        <w:rPr>
          <w:rFonts w:hint="default" w:ascii="仿宋" w:hAnsi="仿宋" w:eastAsia="仿宋" w:cs="仿宋"/>
          <w:szCs w:val="32"/>
        </w:rPr>
        <w:t>村庄建设用地指标分解规则</w:t>
      </w:r>
      <w:r>
        <w:rPr>
          <w:rFonts w:hint="eastAsia" w:ascii="仿宋" w:hAnsi="仿宋" w:eastAsia="仿宋" w:cs="仿宋"/>
          <w:szCs w:val="32"/>
        </w:rPr>
        <w:tab/>
      </w:r>
      <w:r>
        <w:rPr>
          <w:rFonts w:hint="eastAsia" w:ascii="仿宋" w:hAnsi="仿宋" w:eastAsia="仿宋" w:cs="仿宋"/>
          <w:szCs w:val="32"/>
        </w:rPr>
        <w:fldChar w:fldCharType="begin"/>
      </w:r>
      <w:r>
        <w:rPr>
          <w:rFonts w:hint="eastAsia" w:ascii="仿宋" w:hAnsi="仿宋" w:eastAsia="仿宋" w:cs="仿宋"/>
          <w:szCs w:val="32"/>
        </w:rPr>
        <w:instrText xml:space="preserve"> PAGEREF _Toc13118 \h </w:instrText>
      </w:r>
      <w:r>
        <w:rPr>
          <w:rFonts w:hint="eastAsia" w:ascii="仿宋" w:hAnsi="仿宋" w:eastAsia="仿宋" w:cs="仿宋"/>
          <w:szCs w:val="32"/>
        </w:rPr>
        <w:fldChar w:fldCharType="separate"/>
      </w:r>
      <w:r>
        <w:rPr>
          <w:rFonts w:hint="eastAsia" w:ascii="仿宋" w:hAnsi="仿宋" w:eastAsia="仿宋" w:cs="仿宋"/>
          <w:szCs w:val="32"/>
        </w:rPr>
        <w:t>36</w:t>
      </w:r>
      <w:r>
        <w:rPr>
          <w:rFonts w:hint="eastAsia" w:ascii="仿宋" w:hAnsi="仿宋" w:eastAsia="仿宋" w:cs="仿宋"/>
          <w:szCs w:val="32"/>
        </w:rPr>
        <w:fldChar w:fldCharType="end"/>
      </w:r>
      <w:r>
        <w:rPr>
          <w:rFonts w:hint="eastAsia" w:ascii="仿宋" w:hAnsi="仿宋" w:eastAsia="仿宋" w:cs="仿宋"/>
          <w:szCs w:val="32"/>
        </w:rPr>
        <w:fldChar w:fldCharType="end"/>
      </w:r>
    </w:p>
    <w:p w14:paraId="6787CA3C">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_Toc4016 </w:instrText>
      </w:r>
      <w:r>
        <w:rPr>
          <w:rFonts w:hint="eastAsia" w:ascii="仿宋" w:hAnsi="仿宋" w:eastAsia="仿宋" w:cs="仿宋"/>
          <w:szCs w:val="32"/>
        </w:rPr>
        <w:fldChar w:fldCharType="separate"/>
      </w:r>
      <w:r>
        <w:rPr>
          <w:rFonts w:hint="default" w:ascii="仿宋" w:hAnsi="仿宋" w:eastAsia="仿宋" w:cs="仿宋"/>
          <w:szCs w:val="32"/>
        </w:rPr>
        <w:t>附录</w:t>
      </w:r>
      <w:r>
        <w:rPr>
          <w:rFonts w:hint="default" w:ascii="仿宋" w:hAnsi="仿宋" w:eastAsia="仿宋" w:cs="仿宋"/>
          <w:szCs w:val="32"/>
          <w:lang w:val="en-US" w:eastAsia="zh-CN"/>
        </w:rPr>
        <w:t>C</w:t>
      </w:r>
      <w:r>
        <w:rPr>
          <w:rFonts w:hint="default" w:ascii="仿宋" w:hAnsi="仿宋" w:eastAsia="仿宋" w:cs="仿宋"/>
          <w:szCs w:val="32"/>
        </w:rPr>
        <w:t>引用法律法规、政策文件和标准规范名录</w:t>
      </w:r>
      <w:r>
        <w:rPr>
          <w:rFonts w:hint="eastAsia" w:ascii="仿宋" w:hAnsi="仿宋" w:eastAsia="仿宋" w:cs="仿宋"/>
          <w:szCs w:val="32"/>
        </w:rPr>
        <w:tab/>
      </w:r>
      <w:r>
        <w:rPr>
          <w:rFonts w:hint="eastAsia" w:ascii="仿宋" w:hAnsi="仿宋" w:eastAsia="仿宋" w:cs="仿宋"/>
          <w:szCs w:val="32"/>
        </w:rPr>
        <w:fldChar w:fldCharType="begin"/>
      </w:r>
      <w:r>
        <w:rPr>
          <w:rFonts w:hint="eastAsia" w:ascii="仿宋" w:hAnsi="仿宋" w:eastAsia="仿宋" w:cs="仿宋"/>
          <w:szCs w:val="32"/>
        </w:rPr>
        <w:instrText xml:space="preserve"> PAGEREF _Toc4016 \h </w:instrText>
      </w:r>
      <w:r>
        <w:rPr>
          <w:rFonts w:hint="eastAsia" w:ascii="仿宋" w:hAnsi="仿宋" w:eastAsia="仿宋" w:cs="仿宋"/>
          <w:szCs w:val="32"/>
        </w:rPr>
        <w:fldChar w:fldCharType="separate"/>
      </w:r>
      <w:r>
        <w:rPr>
          <w:rFonts w:hint="eastAsia" w:ascii="仿宋" w:hAnsi="仿宋" w:eastAsia="仿宋" w:cs="仿宋"/>
          <w:szCs w:val="32"/>
        </w:rPr>
        <w:t>37</w:t>
      </w:r>
      <w:r>
        <w:rPr>
          <w:rFonts w:hint="eastAsia" w:ascii="仿宋" w:hAnsi="仿宋" w:eastAsia="仿宋" w:cs="仿宋"/>
          <w:szCs w:val="32"/>
        </w:rPr>
        <w:fldChar w:fldCharType="end"/>
      </w:r>
      <w:r>
        <w:rPr>
          <w:rFonts w:hint="eastAsia" w:ascii="仿宋" w:hAnsi="仿宋" w:eastAsia="仿宋" w:cs="仿宋"/>
          <w:szCs w:val="32"/>
        </w:rPr>
        <w:fldChar w:fldCharType="end"/>
      </w:r>
    </w:p>
    <w:p w14:paraId="5501F9D5">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_Toc6356 </w:instrText>
      </w:r>
      <w:r>
        <w:rPr>
          <w:rFonts w:hint="eastAsia" w:ascii="仿宋" w:hAnsi="仿宋" w:eastAsia="仿宋" w:cs="仿宋"/>
          <w:szCs w:val="32"/>
        </w:rPr>
        <w:fldChar w:fldCharType="separate"/>
      </w:r>
      <w:r>
        <w:rPr>
          <w:rFonts w:hint="default" w:ascii="仿宋" w:hAnsi="仿宋" w:eastAsia="仿宋" w:cs="仿宋"/>
          <w:szCs w:val="32"/>
          <w:lang w:val="en-US" w:eastAsia="zh-CN"/>
        </w:rPr>
        <w:t>附录D乡村地区重点地块图则样图</w:t>
      </w:r>
      <w:r>
        <w:rPr>
          <w:rFonts w:hint="eastAsia" w:ascii="仿宋" w:hAnsi="仿宋" w:eastAsia="仿宋" w:cs="仿宋"/>
          <w:szCs w:val="32"/>
        </w:rPr>
        <w:tab/>
      </w:r>
      <w:r>
        <w:rPr>
          <w:rFonts w:hint="eastAsia" w:ascii="仿宋" w:hAnsi="仿宋" w:eastAsia="仿宋" w:cs="仿宋"/>
          <w:szCs w:val="32"/>
        </w:rPr>
        <w:fldChar w:fldCharType="begin"/>
      </w:r>
      <w:r>
        <w:rPr>
          <w:rFonts w:hint="eastAsia" w:ascii="仿宋" w:hAnsi="仿宋" w:eastAsia="仿宋" w:cs="仿宋"/>
          <w:szCs w:val="32"/>
        </w:rPr>
        <w:instrText xml:space="preserve"> PAGEREF _Toc6356 \h </w:instrText>
      </w:r>
      <w:r>
        <w:rPr>
          <w:rFonts w:hint="eastAsia" w:ascii="仿宋" w:hAnsi="仿宋" w:eastAsia="仿宋" w:cs="仿宋"/>
          <w:szCs w:val="32"/>
        </w:rPr>
        <w:fldChar w:fldCharType="separate"/>
      </w:r>
      <w:r>
        <w:rPr>
          <w:rFonts w:hint="eastAsia" w:ascii="仿宋" w:hAnsi="仿宋" w:eastAsia="仿宋" w:cs="仿宋"/>
          <w:szCs w:val="32"/>
        </w:rPr>
        <w:t>43</w:t>
      </w:r>
      <w:r>
        <w:rPr>
          <w:rFonts w:hint="eastAsia" w:ascii="仿宋" w:hAnsi="仿宋" w:eastAsia="仿宋" w:cs="仿宋"/>
          <w:szCs w:val="32"/>
        </w:rPr>
        <w:fldChar w:fldCharType="end"/>
      </w:r>
      <w:r>
        <w:rPr>
          <w:rFonts w:hint="eastAsia" w:ascii="仿宋" w:hAnsi="仿宋" w:eastAsia="仿宋" w:cs="仿宋"/>
          <w:szCs w:val="32"/>
        </w:rPr>
        <w:fldChar w:fldCharType="end"/>
      </w:r>
    </w:p>
    <w:p w14:paraId="1BDB350B">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_Toc30637 </w:instrText>
      </w:r>
      <w:r>
        <w:rPr>
          <w:rFonts w:hint="eastAsia" w:ascii="仿宋" w:hAnsi="仿宋" w:eastAsia="仿宋" w:cs="仿宋"/>
          <w:szCs w:val="32"/>
        </w:rPr>
        <w:fldChar w:fldCharType="separate"/>
      </w:r>
      <w:r>
        <w:rPr>
          <w:rFonts w:hint="default" w:ascii="仿宋" w:hAnsi="仿宋" w:eastAsia="仿宋" w:cs="仿宋"/>
          <w:szCs w:val="32"/>
        </w:rPr>
        <w:t>附</w:t>
      </w:r>
      <w:r>
        <w:rPr>
          <w:rFonts w:hint="eastAsia" w:ascii="仿宋" w:hAnsi="仿宋" w:cs="仿宋"/>
          <w:szCs w:val="32"/>
          <w:lang w:val="en-US" w:eastAsia="zh-CN"/>
        </w:rPr>
        <w:t>录</w:t>
      </w:r>
      <w:r>
        <w:rPr>
          <w:rFonts w:hint="eastAsia" w:ascii="仿宋" w:hAnsi="仿宋" w:eastAsia="仿宋" w:cs="仿宋"/>
          <w:szCs w:val="32"/>
          <w:lang w:val="en-US" w:eastAsia="zh-CN"/>
        </w:rPr>
        <w:t>E</w:t>
      </w:r>
      <w:r>
        <w:rPr>
          <w:rFonts w:hint="default" w:ascii="仿宋" w:hAnsi="仿宋" w:eastAsia="仿宋" w:cs="仿宋"/>
          <w:szCs w:val="32"/>
        </w:rPr>
        <w:t>荔浦市村庄建设用地指标分解表</w:t>
      </w:r>
      <w:r>
        <w:rPr>
          <w:rFonts w:hint="eastAsia" w:ascii="仿宋" w:hAnsi="仿宋" w:eastAsia="仿宋" w:cs="仿宋"/>
          <w:szCs w:val="32"/>
        </w:rPr>
        <w:tab/>
      </w:r>
      <w:r>
        <w:rPr>
          <w:rFonts w:hint="eastAsia" w:ascii="仿宋" w:hAnsi="仿宋" w:eastAsia="仿宋" w:cs="仿宋"/>
          <w:szCs w:val="32"/>
        </w:rPr>
        <w:fldChar w:fldCharType="begin"/>
      </w:r>
      <w:r>
        <w:rPr>
          <w:rFonts w:hint="eastAsia" w:ascii="仿宋" w:hAnsi="仿宋" w:eastAsia="仿宋" w:cs="仿宋"/>
          <w:szCs w:val="32"/>
        </w:rPr>
        <w:instrText xml:space="preserve"> PAGEREF _Toc30637 \h </w:instrText>
      </w:r>
      <w:r>
        <w:rPr>
          <w:rFonts w:hint="eastAsia" w:ascii="仿宋" w:hAnsi="仿宋" w:eastAsia="仿宋" w:cs="仿宋"/>
          <w:szCs w:val="32"/>
        </w:rPr>
        <w:fldChar w:fldCharType="separate"/>
      </w:r>
      <w:r>
        <w:rPr>
          <w:rFonts w:hint="eastAsia" w:ascii="仿宋" w:hAnsi="仿宋" w:eastAsia="仿宋" w:cs="仿宋"/>
          <w:szCs w:val="32"/>
        </w:rPr>
        <w:t>44</w:t>
      </w:r>
      <w:r>
        <w:rPr>
          <w:rFonts w:hint="eastAsia" w:ascii="仿宋" w:hAnsi="仿宋" w:eastAsia="仿宋" w:cs="仿宋"/>
          <w:szCs w:val="32"/>
        </w:rPr>
        <w:fldChar w:fldCharType="end"/>
      </w:r>
      <w:r>
        <w:rPr>
          <w:rFonts w:hint="eastAsia" w:ascii="仿宋" w:hAnsi="仿宋" w:eastAsia="仿宋" w:cs="仿宋"/>
          <w:szCs w:val="32"/>
        </w:rPr>
        <w:fldChar w:fldCharType="end"/>
      </w:r>
    </w:p>
    <w:p w14:paraId="28617263">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_Toc11081 </w:instrText>
      </w:r>
      <w:r>
        <w:rPr>
          <w:rFonts w:hint="eastAsia" w:ascii="仿宋" w:hAnsi="仿宋" w:eastAsia="仿宋" w:cs="仿宋"/>
          <w:szCs w:val="32"/>
        </w:rPr>
        <w:fldChar w:fldCharType="separate"/>
      </w:r>
      <w:r>
        <w:rPr>
          <w:rFonts w:hint="default" w:ascii="仿宋" w:hAnsi="仿宋" w:eastAsia="仿宋" w:cs="仿宋"/>
          <w:szCs w:val="32"/>
        </w:rPr>
        <w:t>附</w:t>
      </w:r>
      <w:r>
        <w:rPr>
          <w:rFonts w:hint="default" w:ascii="仿宋" w:hAnsi="仿宋" w:eastAsia="仿宋" w:cs="仿宋"/>
          <w:szCs w:val="32"/>
          <w:lang w:val="en-US" w:eastAsia="zh-CN"/>
        </w:rPr>
        <w:t>录F荔浦市村庄分类及传统村落一览表</w:t>
      </w:r>
      <w:r>
        <w:rPr>
          <w:rFonts w:hint="eastAsia" w:ascii="仿宋" w:hAnsi="仿宋" w:eastAsia="仿宋" w:cs="仿宋"/>
          <w:szCs w:val="32"/>
        </w:rPr>
        <w:tab/>
      </w:r>
      <w:r>
        <w:rPr>
          <w:rFonts w:hint="eastAsia" w:ascii="仿宋" w:hAnsi="仿宋" w:eastAsia="仿宋" w:cs="仿宋"/>
          <w:szCs w:val="32"/>
        </w:rPr>
        <w:fldChar w:fldCharType="begin"/>
      </w:r>
      <w:r>
        <w:rPr>
          <w:rFonts w:hint="eastAsia" w:ascii="仿宋" w:hAnsi="仿宋" w:eastAsia="仿宋" w:cs="仿宋"/>
          <w:szCs w:val="32"/>
        </w:rPr>
        <w:instrText xml:space="preserve"> PAGEREF _Toc11081 \h </w:instrText>
      </w:r>
      <w:r>
        <w:rPr>
          <w:rFonts w:hint="eastAsia" w:ascii="仿宋" w:hAnsi="仿宋" w:eastAsia="仿宋" w:cs="仿宋"/>
          <w:szCs w:val="32"/>
        </w:rPr>
        <w:fldChar w:fldCharType="separate"/>
      </w:r>
      <w:r>
        <w:rPr>
          <w:rFonts w:hint="eastAsia" w:ascii="仿宋" w:hAnsi="仿宋" w:eastAsia="仿宋" w:cs="仿宋"/>
          <w:szCs w:val="32"/>
        </w:rPr>
        <w:t>49</w:t>
      </w:r>
      <w:r>
        <w:rPr>
          <w:rFonts w:hint="eastAsia" w:ascii="仿宋" w:hAnsi="仿宋" w:eastAsia="仿宋" w:cs="仿宋"/>
          <w:szCs w:val="32"/>
        </w:rPr>
        <w:fldChar w:fldCharType="end"/>
      </w:r>
      <w:r>
        <w:rPr>
          <w:rFonts w:hint="eastAsia" w:ascii="仿宋" w:hAnsi="仿宋" w:eastAsia="仿宋" w:cs="仿宋"/>
          <w:szCs w:val="32"/>
        </w:rPr>
        <w:fldChar w:fldCharType="end"/>
      </w:r>
    </w:p>
    <w:p w14:paraId="573F623F">
      <w:pPr>
        <w:pStyle w:val="16"/>
        <w:keepNext w:val="0"/>
        <w:keepLines w:val="0"/>
        <w:pageBreakBefore w:val="0"/>
        <w:widowControl w:val="0"/>
        <w:tabs>
          <w:tab w:val="right" w:leader="dot" w:pos="8306"/>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sectPr>
          <w:footerReference r:id="rId12" w:type="default"/>
          <w:footerReference r:id="rId13" w:type="even"/>
          <w:pgSz w:w="11905" w:h="16838"/>
          <w:pgMar w:top="2098" w:right="1474" w:bottom="1984" w:left="1587" w:header="850" w:footer="1417" w:gutter="0"/>
          <w:pgBorders>
            <w:top w:val="none" w:sz="0" w:space="0"/>
            <w:left w:val="none" w:sz="0" w:space="0"/>
            <w:bottom w:val="none" w:sz="0" w:space="0"/>
            <w:right w:val="none" w:sz="0" w:space="0"/>
          </w:pgBorders>
          <w:pgNumType w:fmt="decimal" w:start="1"/>
          <w:cols w:space="0" w:num="1"/>
          <w:rtlGutter w:val="0"/>
          <w:docGrid w:type="linesAndChars" w:linePitch="579" w:charSpace="-849"/>
        </w:sectPr>
      </w:pPr>
      <w:r>
        <w:rPr>
          <w:rFonts w:hint="eastAsia" w:ascii="仿宋" w:hAnsi="仿宋" w:eastAsia="仿宋" w:cs="仿宋"/>
          <w:szCs w:val="32"/>
        </w:rPr>
        <w:fldChar w:fldCharType="end"/>
      </w:r>
    </w:p>
    <w:p w14:paraId="4BCE3963">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val="0"/>
          <w:bCs w:val="0"/>
          <w:sz w:val="44"/>
          <w:lang w:val="en-US" w:eastAsia="zh-CN"/>
        </w:rPr>
      </w:pPr>
      <w:bookmarkStart w:id="13" w:name="_Toc4834"/>
      <w:bookmarkStart w:id="14" w:name="_Toc31389"/>
      <w:bookmarkStart w:id="15" w:name="_Toc6697"/>
      <w:r>
        <w:rPr>
          <w:rFonts w:hint="eastAsia" w:ascii="黑体" w:hAnsi="黑体" w:eastAsia="黑体" w:cs="黑体"/>
          <w:b w:val="0"/>
          <w:bCs w:val="0"/>
          <w:sz w:val="44"/>
          <w:lang w:val="en-US" w:eastAsia="zh-CN"/>
        </w:rPr>
        <w:t>第一章 总则</w:t>
      </w:r>
      <w:bookmarkEnd w:id="13"/>
      <w:bookmarkEnd w:id="14"/>
      <w:bookmarkEnd w:id="15"/>
    </w:p>
    <w:p w14:paraId="5E72B1F0">
      <w:pPr>
        <w:pStyle w:val="3"/>
        <w:keepNext w:val="0"/>
        <w:keepLines w:val="0"/>
        <w:pageBreakBefore w:val="0"/>
        <w:widowControl w:val="0"/>
        <w:kinsoku/>
        <w:wordWrap/>
        <w:overflowPunct/>
        <w:topLinePunct w:val="0"/>
        <w:autoSpaceDE/>
        <w:autoSpaceDN/>
        <w:bidi w:val="0"/>
        <w:adjustRightInd/>
        <w:snapToGrid/>
        <w:spacing w:line="586" w:lineRule="exact"/>
        <w:ind w:firstLine="643"/>
        <w:jc w:val="both"/>
        <w:textAlignment w:val="auto"/>
        <w:rPr>
          <w:rFonts w:hint="eastAsia" w:ascii="仿宋_GB2312" w:hAnsi="仿宋_GB2312" w:eastAsia="仿宋_GB2312" w:cs="仿宋_GB2312"/>
          <w:bCs/>
          <w:color w:val="auto"/>
          <w:szCs w:val="32"/>
        </w:rPr>
      </w:pPr>
      <w:bookmarkStart w:id="16" w:name="_Toc29822"/>
      <w:bookmarkStart w:id="17" w:name="_Toc22859"/>
      <w:r>
        <w:rPr>
          <w:rFonts w:hint="eastAsia" w:ascii="仿宋_GB2312" w:hAnsi="仿宋_GB2312" w:eastAsia="仿宋_GB2312" w:cs="仿宋_GB2312"/>
          <w:bCs/>
          <w:color w:val="auto"/>
          <w:szCs w:val="32"/>
        </w:rPr>
        <w:t>第1条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制定目的</w:t>
      </w:r>
      <w:bookmarkEnd w:id="16"/>
      <w:bookmarkEnd w:id="17"/>
    </w:p>
    <w:p w14:paraId="75756D5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本规定作为城镇开发边界外未编制村庄规划地区的空间规划管理、核发乡村建设规划许可的依据。指导乡村地区村民住房、基础与公用设施、公共服务设施、乡村产业等项目建设，统筹安排村庄建设用地规模。</w:t>
      </w:r>
    </w:p>
    <w:p w14:paraId="73B394E9">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8" w:name="_Toc2156"/>
      <w:bookmarkStart w:id="19" w:name="_Toc13431"/>
      <w:r>
        <w:rPr>
          <w:rFonts w:hint="eastAsia" w:ascii="仿宋_GB2312" w:hAnsi="仿宋_GB2312" w:eastAsia="仿宋_GB2312" w:cs="仿宋_GB2312"/>
          <w:bCs/>
          <w:color w:val="auto"/>
          <w:szCs w:val="32"/>
        </w:rPr>
        <w:t>第2条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制定依据</w:t>
      </w:r>
      <w:bookmarkEnd w:id="18"/>
      <w:bookmarkEnd w:id="19"/>
    </w:p>
    <w:p w14:paraId="769D68E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eastAsia="zh-CN"/>
        </w:rPr>
        <w:t>本规定</w:t>
      </w:r>
      <w:r>
        <w:rPr>
          <w:rFonts w:hint="default" w:ascii="仿宋" w:hAnsi="仿宋" w:eastAsia="仿宋" w:cs="仿宋"/>
          <w:sz w:val="32"/>
          <w:szCs w:val="32"/>
        </w:rPr>
        <w:t>以国家和地方相关法律法规、标准规范、政策文件等为依据（详见附录</w:t>
      </w:r>
      <w:r>
        <w:rPr>
          <w:rFonts w:hint="default" w:ascii="仿宋" w:hAnsi="仿宋" w:eastAsia="仿宋" w:cs="仿宋"/>
          <w:sz w:val="32"/>
          <w:szCs w:val="32"/>
          <w:lang w:val="en-US" w:eastAsia="zh-CN"/>
        </w:rPr>
        <w:t>C</w:t>
      </w:r>
      <w:r>
        <w:rPr>
          <w:rFonts w:hint="default" w:ascii="仿宋" w:hAnsi="仿宋" w:eastAsia="仿宋" w:cs="仿宋"/>
          <w:sz w:val="32"/>
          <w:szCs w:val="32"/>
        </w:rPr>
        <w:t>）。</w:t>
      </w:r>
    </w:p>
    <w:p w14:paraId="5E61DF83">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20" w:name="_Toc9580"/>
      <w:bookmarkStart w:id="21" w:name="_Toc19553"/>
      <w:r>
        <w:rPr>
          <w:rFonts w:hint="eastAsia" w:ascii="仿宋_GB2312" w:hAnsi="仿宋_GB2312" w:eastAsia="仿宋_GB2312" w:cs="仿宋_GB2312"/>
          <w:bCs/>
          <w:color w:val="auto"/>
          <w:szCs w:val="32"/>
        </w:rPr>
        <w:t>第3条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适用范围</w:t>
      </w:r>
      <w:bookmarkEnd w:id="20"/>
      <w:bookmarkEnd w:id="21"/>
    </w:p>
    <w:p w14:paraId="3BFBB3F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本</w:t>
      </w:r>
      <w:r>
        <w:rPr>
          <w:rFonts w:hint="default" w:ascii="仿宋" w:hAnsi="仿宋" w:eastAsia="仿宋" w:cs="仿宋"/>
          <w:sz w:val="32"/>
          <w:szCs w:val="32"/>
          <w:lang w:eastAsia="zh-CN"/>
        </w:rPr>
        <w:t>规定</w:t>
      </w:r>
      <w:r>
        <w:rPr>
          <w:rFonts w:hint="default" w:ascii="仿宋" w:hAnsi="仿宋" w:eastAsia="仿宋" w:cs="仿宋"/>
          <w:sz w:val="32"/>
          <w:szCs w:val="32"/>
        </w:rPr>
        <w:t>适用于</w:t>
      </w:r>
      <w:r>
        <w:rPr>
          <w:rFonts w:hint="default" w:ascii="仿宋" w:hAnsi="仿宋" w:eastAsia="仿宋" w:cs="仿宋"/>
          <w:sz w:val="32"/>
          <w:szCs w:val="32"/>
          <w:lang w:eastAsia="zh-CN"/>
        </w:rPr>
        <w:t>市域内</w:t>
      </w:r>
      <w:r>
        <w:rPr>
          <w:rFonts w:hint="default" w:ascii="仿宋" w:hAnsi="仿宋" w:eastAsia="仿宋" w:cs="仿宋"/>
          <w:sz w:val="32"/>
          <w:szCs w:val="32"/>
        </w:rPr>
        <w:t>城镇开发边界外未编制村庄规划的区域。</w:t>
      </w:r>
      <w:r>
        <w:rPr>
          <w:rFonts w:hint="default" w:ascii="仿宋" w:hAnsi="仿宋" w:eastAsia="仿宋" w:cs="仿宋"/>
          <w:sz w:val="32"/>
          <w:szCs w:val="32"/>
          <w:lang w:val="zh-TW"/>
        </w:rPr>
        <w:t>已编制村庄规划的区域，应优先执行法定村庄规划；对规划未明确管控要求的内容，可参照本规定执行。</w:t>
      </w:r>
      <w:r>
        <w:rPr>
          <w:rFonts w:hint="default" w:ascii="仿宋" w:hAnsi="仿宋" w:eastAsia="仿宋" w:cs="仿宋"/>
          <w:sz w:val="32"/>
          <w:szCs w:val="32"/>
        </w:rPr>
        <w:t>城镇开发边界外的乡村建设项目，可依据本规定核发规划许可，具体包括：村民住宅建设项目、乡村基础设施与公共服务设施建设项目、乡村产业发展项目、其他符合乡村发展需求的建设项目。涉及农用地转用审批的，应按照国家和自治区相关规定办理。</w:t>
      </w:r>
    </w:p>
    <w:p w14:paraId="0DCB0B9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eastAsia="zh-CN"/>
        </w:rPr>
        <w:t>规定实施后，对需精细化管控的项目地块，可另行编制乡村地区重点地块图则（详见附录D），细化明确项目的地块位置、用地面积、用地性质、容积率、建筑高度、建筑密度、绿地率、出入口方位、停车场泊位、建筑退让及其他需要配置的基础设施和公共设施控制指标，作为核发规划许可的依据。</w:t>
      </w:r>
    </w:p>
    <w:p w14:paraId="145F487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val="zh-TW"/>
        </w:rPr>
        <w:t>列入乡村振兴规划、计划或项目库的农村生活污水处理、垃圾储运、粪污处理、公共厕所等农村人居环境建设项目，村内道路等基础设施项目和农村给排水、供电、供气、通讯、文化体育等小型</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项目用地面积不超过400平方米，但露天篮球场不受此面积限制</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零星公用公服设施，在符合国土空间规划和用途管制规则</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满足有关法律法规、标准规范和技术规定要求</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确保安全利用的前提下</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免于办理规划许可手续。</w:t>
      </w:r>
    </w:p>
    <w:p w14:paraId="06DD9BA5">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val="0"/>
          <w:bCs w:val="0"/>
          <w:sz w:val="44"/>
          <w:lang w:val="en-US" w:eastAsia="zh-CN"/>
        </w:rPr>
      </w:pPr>
      <w:bookmarkStart w:id="22" w:name="_Toc12949"/>
      <w:bookmarkStart w:id="23" w:name="_Toc19001"/>
      <w:bookmarkStart w:id="24" w:name="_Toc25106"/>
      <w:bookmarkStart w:id="25" w:name="_Toc8295"/>
      <w:r>
        <w:rPr>
          <w:rFonts w:hint="eastAsia" w:ascii="黑体" w:hAnsi="黑体" w:eastAsia="黑体" w:cs="黑体"/>
          <w:b w:val="0"/>
          <w:bCs w:val="0"/>
          <w:sz w:val="44"/>
          <w:lang w:val="en-US" w:eastAsia="zh-CN"/>
        </w:rPr>
        <w:t>第二章 村庄概况</w:t>
      </w:r>
      <w:bookmarkEnd w:id="22"/>
      <w:bookmarkEnd w:id="23"/>
      <w:bookmarkEnd w:id="24"/>
      <w:bookmarkEnd w:id="25"/>
    </w:p>
    <w:p w14:paraId="4E6C51E3">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lang w:eastAsia="zh-CN"/>
        </w:rPr>
      </w:pPr>
      <w:bookmarkStart w:id="26" w:name="_Toc22713"/>
      <w:bookmarkStart w:id="27" w:name="_Toc30914"/>
      <w:r>
        <w:rPr>
          <w:rFonts w:hint="eastAsia" w:ascii="仿宋_GB2312" w:hAnsi="仿宋_GB2312" w:eastAsia="仿宋_GB2312" w:cs="仿宋_GB2312"/>
          <w:bCs/>
          <w:color w:val="auto"/>
          <w:szCs w:val="32"/>
        </w:rPr>
        <w:t>第4条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村庄分类</w:t>
      </w:r>
      <w:bookmarkEnd w:id="26"/>
      <w:r>
        <w:rPr>
          <w:rFonts w:hint="eastAsia" w:ascii="仿宋_GB2312" w:hAnsi="仿宋_GB2312" w:eastAsia="仿宋_GB2312" w:cs="仿宋_GB2312"/>
          <w:bCs/>
          <w:color w:val="auto"/>
          <w:szCs w:val="32"/>
          <w:lang w:eastAsia="zh-CN"/>
        </w:rPr>
        <w:t>管理</w:t>
      </w:r>
      <w:bookmarkEnd w:id="27"/>
    </w:p>
    <w:p w14:paraId="7008EC0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eastAsia="zh-CN"/>
        </w:rPr>
        <w:t>全市</w:t>
      </w:r>
      <w:r>
        <w:rPr>
          <w:rFonts w:hint="default" w:ascii="仿宋" w:hAnsi="仿宋" w:eastAsia="仿宋" w:cs="仿宋"/>
          <w:sz w:val="32"/>
          <w:szCs w:val="32"/>
        </w:rPr>
        <w:t>共</w:t>
      </w:r>
      <w:r>
        <w:rPr>
          <w:rFonts w:hint="default" w:ascii="仿宋" w:hAnsi="仿宋" w:eastAsia="仿宋" w:cs="仿宋"/>
          <w:sz w:val="32"/>
          <w:szCs w:val="32"/>
          <w:lang w:val="en-US" w:eastAsia="zh-CN"/>
        </w:rPr>
        <w:t>1</w:t>
      </w:r>
      <w:r>
        <w:rPr>
          <w:rFonts w:hint="eastAsia" w:ascii="仿宋" w:hAnsi="仿宋" w:cs="仿宋"/>
          <w:sz w:val="32"/>
          <w:szCs w:val="32"/>
          <w:lang w:val="en-US" w:eastAsia="zh-CN"/>
        </w:rPr>
        <w:t>3</w:t>
      </w:r>
      <w:r>
        <w:rPr>
          <w:rFonts w:hint="default" w:ascii="仿宋" w:hAnsi="仿宋" w:eastAsia="仿宋" w:cs="仿宋"/>
          <w:sz w:val="32"/>
          <w:szCs w:val="32"/>
          <w:lang w:val="en-US" w:eastAsia="zh-CN"/>
        </w:rPr>
        <w:t>个</w:t>
      </w:r>
      <w:r>
        <w:rPr>
          <w:rFonts w:hint="eastAsia" w:ascii="仿宋" w:hAnsi="仿宋" w:cs="仿宋"/>
          <w:sz w:val="32"/>
          <w:szCs w:val="32"/>
          <w:lang w:val="en-US" w:eastAsia="zh-CN"/>
        </w:rPr>
        <w:t>乡</w:t>
      </w:r>
      <w:r>
        <w:rPr>
          <w:rFonts w:hint="default" w:ascii="仿宋" w:hAnsi="仿宋" w:eastAsia="仿宋" w:cs="仿宋"/>
          <w:sz w:val="32"/>
          <w:szCs w:val="32"/>
          <w:lang w:val="en-US" w:eastAsia="zh-CN"/>
        </w:rPr>
        <w:t>镇</w:t>
      </w:r>
      <w:r>
        <w:rPr>
          <w:rFonts w:hint="default" w:ascii="仿宋" w:hAnsi="仿宋" w:eastAsia="仿宋" w:cs="仿宋"/>
          <w:sz w:val="32"/>
          <w:szCs w:val="32"/>
        </w:rPr>
        <w:t>，</w:t>
      </w:r>
      <w:r>
        <w:rPr>
          <w:rFonts w:hint="eastAsia" w:ascii="仿宋" w:hAnsi="仿宋" w:cs="仿宋"/>
          <w:sz w:val="32"/>
          <w:szCs w:val="32"/>
          <w:lang w:val="en-US" w:eastAsia="zh-CN"/>
        </w:rPr>
        <w:t>共22个社区和122</w:t>
      </w:r>
      <w:r>
        <w:rPr>
          <w:rFonts w:hint="default" w:ascii="仿宋" w:hAnsi="仿宋" w:eastAsia="仿宋" w:cs="仿宋"/>
          <w:sz w:val="32"/>
          <w:szCs w:val="32"/>
        </w:rPr>
        <w:t>个行政村（</w:t>
      </w:r>
      <w:r>
        <w:rPr>
          <w:rFonts w:hint="eastAsia" w:ascii="仿宋" w:hAnsi="仿宋" w:cs="仿宋"/>
          <w:sz w:val="32"/>
          <w:szCs w:val="32"/>
          <w:lang w:val="en-US" w:eastAsia="zh-CN"/>
        </w:rPr>
        <w:t>详见附录D、E行政区名称及其注释，其中荔城镇政府为8个社区</w:t>
      </w:r>
      <w:r>
        <w:rPr>
          <w:rFonts w:hint="default" w:ascii="仿宋" w:hAnsi="仿宋" w:eastAsia="仿宋" w:cs="仿宋"/>
          <w:sz w:val="32"/>
          <w:szCs w:val="32"/>
        </w:rPr>
        <w:t>）。根据已批复的《</w:t>
      </w:r>
      <w:r>
        <w:rPr>
          <w:rFonts w:hint="default" w:ascii="仿宋" w:hAnsi="仿宋" w:eastAsia="仿宋" w:cs="仿宋"/>
          <w:sz w:val="32"/>
          <w:szCs w:val="32"/>
          <w:lang w:eastAsia="zh-CN"/>
        </w:rPr>
        <w:t>荔浦市</w:t>
      </w:r>
      <w:r>
        <w:rPr>
          <w:rFonts w:hint="default" w:ascii="仿宋" w:hAnsi="仿宋" w:eastAsia="仿宋" w:cs="仿宋"/>
          <w:sz w:val="32"/>
          <w:szCs w:val="32"/>
        </w:rPr>
        <w:t>国土空间总体规划（</w:t>
      </w:r>
      <w:r>
        <w:rPr>
          <w:rFonts w:hint="eastAsia" w:ascii="仿宋" w:hAnsi="仿宋" w:eastAsia="仿宋" w:cs="仿宋"/>
          <w:sz w:val="32"/>
          <w:szCs w:val="32"/>
          <w:lang w:eastAsia="zh-CN"/>
        </w:rPr>
        <w:t>2021—2035</w:t>
      </w:r>
      <w:r>
        <w:rPr>
          <w:rFonts w:hint="default" w:ascii="仿宋" w:hAnsi="仿宋" w:eastAsia="仿宋" w:cs="仿宋"/>
          <w:sz w:val="32"/>
          <w:szCs w:val="32"/>
        </w:rPr>
        <w:t>年）》，</w:t>
      </w:r>
      <w:r>
        <w:rPr>
          <w:rFonts w:hint="default" w:ascii="仿宋" w:hAnsi="仿宋" w:eastAsia="仿宋" w:cs="仿宋"/>
          <w:sz w:val="32"/>
          <w:szCs w:val="32"/>
          <w:lang w:eastAsia="zh-CN"/>
        </w:rPr>
        <w:t>全市</w:t>
      </w:r>
      <w:r>
        <w:rPr>
          <w:rFonts w:hint="default" w:ascii="仿宋" w:hAnsi="仿宋" w:eastAsia="仿宋" w:cs="仿宋"/>
          <w:sz w:val="32"/>
          <w:szCs w:val="32"/>
        </w:rPr>
        <w:t>域</w:t>
      </w:r>
      <w:r>
        <w:rPr>
          <w:rFonts w:hint="default" w:ascii="仿宋" w:hAnsi="仿宋" w:eastAsia="仿宋" w:cs="仿宋"/>
          <w:sz w:val="32"/>
          <w:szCs w:val="32"/>
          <w:lang w:val="en-US" w:eastAsia="zh-CN"/>
        </w:rPr>
        <w:t>12</w:t>
      </w:r>
      <w:r>
        <w:rPr>
          <w:rFonts w:hint="eastAsia" w:ascii="仿宋" w:hAnsi="仿宋" w:eastAsia="仿宋" w:cs="仿宋"/>
          <w:sz w:val="32"/>
          <w:szCs w:val="32"/>
          <w:lang w:val="en-US" w:eastAsia="zh-CN"/>
        </w:rPr>
        <w:t>2</w:t>
      </w:r>
      <w:r>
        <w:rPr>
          <w:rFonts w:hint="default" w:ascii="仿宋" w:hAnsi="仿宋" w:eastAsia="仿宋" w:cs="仿宋"/>
          <w:sz w:val="32"/>
          <w:szCs w:val="32"/>
        </w:rPr>
        <w:t>个行政村（不包括社区）划分为城郊融合类、集聚提升类、特色保护类</w:t>
      </w:r>
      <w:r>
        <w:rPr>
          <w:rFonts w:hint="default" w:ascii="仿宋" w:hAnsi="仿宋" w:eastAsia="仿宋" w:cs="仿宋"/>
          <w:sz w:val="32"/>
          <w:szCs w:val="32"/>
          <w:lang w:eastAsia="zh-CN"/>
        </w:rPr>
        <w:t>三</w:t>
      </w:r>
      <w:r>
        <w:rPr>
          <w:rFonts w:hint="default" w:ascii="仿宋" w:hAnsi="仿宋" w:eastAsia="仿宋" w:cs="仿宋"/>
          <w:sz w:val="32"/>
          <w:szCs w:val="32"/>
        </w:rPr>
        <w:t>种类型。</w:t>
      </w:r>
    </w:p>
    <w:p w14:paraId="4A7EE6C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城郊融合型村庄共有2</w:t>
      </w:r>
      <w:r>
        <w:rPr>
          <w:rFonts w:hint="eastAsia" w:ascii="仿宋" w:hAnsi="仿宋" w:eastAsia="仿宋" w:cs="仿宋"/>
          <w:sz w:val="32"/>
          <w:szCs w:val="32"/>
          <w:lang w:val="en-US" w:eastAsia="zh-CN"/>
        </w:rPr>
        <w:t>0</w:t>
      </w:r>
      <w:r>
        <w:rPr>
          <w:rFonts w:hint="default" w:ascii="仿宋" w:hAnsi="仿宋" w:eastAsia="仿宋" w:cs="仿宋"/>
          <w:sz w:val="32"/>
          <w:szCs w:val="32"/>
        </w:rPr>
        <w:t>个。严格控制村庄建设用地无序扩张，重点推动城乡一体化建设</w:t>
      </w:r>
      <w:r>
        <w:rPr>
          <w:rFonts w:hint="default" w:ascii="仿宋" w:hAnsi="仿宋" w:eastAsia="仿宋" w:cs="仿宋"/>
          <w:sz w:val="32"/>
          <w:szCs w:val="32"/>
          <w:lang w:eastAsia="zh-CN"/>
        </w:rPr>
        <w:t>，</w:t>
      </w:r>
      <w:r>
        <w:rPr>
          <w:rFonts w:hint="default" w:ascii="仿宋" w:hAnsi="仿宋" w:eastAsia="仿宋" w:cs="仿宋"/>
          <w:sz w:val="32"/>
          <w:szCs w:val="32"/>
        </w:rPr>
        <w:t>推进城乡基础设施互联互通，完善教育医疗等公共服务配套，预留产业承接空间。强化与</w:t>
      </w:r>
      <w:r>
        <w:rPr>
          <w:rFonts w:hint="default" w:ascii="仿宋" w:hAnsi="仿宋" w:eastAsia="仿宋" w:cs="仿宋"/>
          <w:sz w:val="32"/>
          <w:szCs w:val="32"/>
          <w:lang w:eastAsia="zh-CN"/>
        </w:rPr>
        <w:t>中心城区</w:t>
      </w:r>
      <w:r>
        <w:rPr>
          <w:rFonts w:hint="default" w:ascii="仿宋" w:hAnsi="仿宋" w:eastAsia="仿宋" w:cs="仿宋"/>
          <w:sz w:val="32"/>
          <w:szCs w:val="32"/>
        </w:rPr>
        <w:t>交通网络衔接，促进城乡要素双向流动，逐步实现基础设施同城化、公共服务均等化。</w:t>
      </w:r>
    </w:p>
    <w:p w14:paraId="60188AA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集聚提升型村庄共有83个。鼓励人口向中心村适度集中，重点发展现代农业、工贸物流、休闲旅游等产业。</w:t>
      </w:r>
      <w:r>
        <w:rPr>
          <w:rFonts w:hint="default" w:ascii="仿宋" w:hAnsi="仿宋" w:eastAsia="仿宋" w:cs="仿宋"/>
          <w:sz w:val="32"/>
          <w:szCs w:val="32"/>
          <w:lang w:eastAsia="zh-CN"/>
        </w:rPr>
        <w:t>改造和提升基础</w:t>
      </w:r>
      <w:r>
        <w:rPr>
          <w:rFonts w:hint="default" w:ascii="仿宋" w:hAnsi="仿宋" w:eastAsia="仿宋" w:cs="仿宋"/>
          <w:sz w:val="32"/>
          <w:szCs w:val="32"/>
        </w:rPr>
        <w:t>设施，统筹推进</w:t>
      </w:r>
      <w:r>
        <w:rPr>
          <w:rFonts w:hint="default" w:ascii="仿宋" w:hAnsi="仿宋" w:eastAsia="仿宋" w:cs="仿宋"/>
          <w:sz w:val="32"/>
          <w:szCs w:val="32"/>
          <w:lang w:eastAsia="zh-CN"/>
        </w:rPr>
        <w:t>公共服务设施、</w:t>
      </w:r>
      <w:r>
        <w:rPr>
          <w:rFonts w:hint="default" w:ascii="仿宋" w:hAnsi="仿宋" w:eastAsia="仿宋" w:cs="仿宋"/>
          <w:sz w:val="32"/>
          <w:szCs w:val="32"/>
        </w:rPr>
        <w:t>道路硬化、污水治理、绿化亮化等工程，打造设施完善、环境优美的现代化新型农村社区。</w:t>
      </w:r>
    </w:p>
    <w:p w14:paraId="2EAEC63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特色保护型村庄共有</w:t>
      </w:r>
      <w:r>
        <w:rPr>
          <w:rFonts w:hint="eastAsia" w:ascii="仿宋" w:hAnsi="仿宋" w:eastAsia="仿宋" w:cs="仿宋"/>
          <w:sz w:val="32"/>
          <w:szCs w:val="32"/>
          <w:lang w:val="en-US" w:eastAsia="zh-CN"/>
        </w:rPr>
        <w:t>19</w:t>
      </w:r>
      <w:r>
        <w:rPr>
          <w:rFonts w:hint="default" w:ascii="仿宋" w:hAnsi="仿宋" w:eastAsia="仿宋" w:cs="仿宋"/>
          <w:sz w:val="32"/>
          <w:szCs w:val="32"/>
        </w:rPr>
        <w:t>个。以</w:t>
      </w:r>
      <w:r>
        <w:rPr>
          <w:rFonts w:hint="default" w:ascii="仿宋" w:hAnsi="仿宋" w:eastAsia="仿宋" w:cs="仿宋"/>
          <w:sz w:val="32"/>
          <w:szCs w:val="32"/>
          <w:lang w:eastAsia="zh-CN"/>
        </w:rPr>
        <w:t>“</w:t>
      </w:r>
      <w:r>
        <w:rPr>
          <w:rFonts w:hint="default" w:ascii="仿宋" w:hAnsi="仿宋" w:eastAsia="仿宋" w:cs="仿宋"/>
          <w:sz w:val="32"/>
          <w:szCs w:val="32"/>
        </w:rPr>
        <w:t>严格保护、永续利用</w:t>
      </w:r>
      <w:r>
        <w:rPr>
          <w:rFonts w:hint="default" w:ascii="仿宋" w:hAnsi="仿宋" w:eastAsia="仿宋" w:cs="仿宋"/>
          <w:sz w:val="32"/>
          <w:szCs w:val="32"/>
          <w:lang w:eastAsia="zh-CN"/>
        </w:rPr>
        <w:t>”</w:t>
      </w:r>
      <w:r>
        <w:rPr>
          <w:rFonts w:hint="default" w:ascii="仿宋" w:hAnsi="仿宋" w:eastAsia="仿宋" w:cs="仿宋"/>
          <w:sz w:val="32"/>
          <w:szCs w:val="32"/>
        </w:rPr>
        <w:t>为原则，统筹保护、利用与发展关系，切实保护村庄的传统选址、格局、风貌以及自然和田园景观等整体空间形态与环境，全面保护文物古迹、</w:t>
      </w:r>
      <w:r>
        <w:rPr>
          <w:rFonts w:hint="default" w:ascii="仿宋" w:hAnsi="仿宋" w:eastAsia="仿宋" w:cs="仿宋"/>
          <w:sz w:val="32"/>
          <w:szCs w:val="32"/>
          <w:lang w:eastAsia="zh-CN"/>
        </w:rPr>
        <w:t>历史</w:t>
      </w:r>
      <w:r>
        <w:rPr>
          <w:rFonts w:hint="default" w:ascii="仿宋" w:hAnsi="仿宋" w:eastAsia="仿宋" w:cs="仿宋"/>
          <w:sz w:val="32"/>
          <w:szCs w:val="32"/>
        </w:rPr>
        <w:t>建筑、传统民居等传统建筑，加强历史文化、传统风貌的保护延续和村庄整体风貌引导，努力保持村庄的完整性、真实性和延续性。尊重原住居民生活形态和传统习惯，加快改善村庄基础设施和公共环境，合理利用村庄特色资源，提升村庄产业发展活力，发展乡村旅游和特色产业，形成特色资源保护利用与村庄发展的良性互促机制。</w:t>
      </w:r>
    </w:p>
    <w:p w14:paraId="00384987">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val="0"/>
          <w:bCs w:val="0"/>
          <w:sz w:val="44"/>
          <w:lang w:val="en-US" w:eastAsia="zh-CN"/>
        </w:rPr>
      </w:pPr>
      <w:bookmarkStart w:id="28" w:name="_Toc7487"/>
      <w:bookmarkStart w:id="29" w:name="_Toc32632"/>
      <w:bookmarkStart w:id="30" w:name="_Toc18009"/>
      <w:bookmarkStart w:id="31" w:name="_Toc9612"/>
      <w:r>
        <w:rPr>
          <w:rFonts w:hint="eastAsia" w:ascii="黑体" w:hAnsi="黑体" w:eastAsia="黑体" w:cs="黑体"/>
          <w:b w:val="0"/>
          <w:bCs w:val="0"/>
          <w:sz w:val="44"/>
          <w:lang w:val="en-US" w:eastAsia="zh-CN"/>
        </w:rPr>
        <w:t>第三章 管控要求</w:t>
      </w:r>
      <w:bookmarkEnd w:id="28"/>
      <w:bookmarkEnd w:id="29"/>
      <w:bookmarkEnd w:id="30"/>
      <w:bookmarkEnd w:id="31"/>
    </w:p>
    <w:p w14:paraId="670EB2CD">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eastAsia" w:ascii="楷体" w:hAnsi="楷体" w:eastAsia="楷体" w:cs="楷体"/>
        </w:rPr>
      </w:pPr>
      <w:bookmarkStart w:id="32" w:name="_Toc21802"/>
      <w:bookmarkStart w:id="33" w:name="_Toc4517"/>
      <w:bookmarkStart w:id="34" w:name="_Toc25800"/>
      <w:bookmarkStart w:id="35" w:name="_Toc19151"/>
      <w:r>
        <w:rPr>
          <w:rFonts w:hint="eastAsia" w:ascii="楷体" w:hAnsi="楷体" w:eastAsia="楷体" w:cs="楷体"/>
        </w:rPr>
        <w:t>第一节</w:t>
      </w:r>
      <w:r>
        <w:rPr>
          <w:rFonts w:hint="eastAsia" w:ascii="楷体" w:hAnsi="楷体" w:eastAsia="楷体" w:cs="楷体"/>
          <w:lang w:val="en-US" w:eastAsia="zh-CN"/>
        </w:rPr>
        <w:t xml:space="preserve"> </w:t>
      </w:r>
      <w:r>
        <w:rPr>
          <w:rFonts w:hint="eastAsia" w:ascii="楷体" w:hAnsi="楷体" w:eastAsia="楷体" w:cs="楷体"/>
        </w:rPr>
        <w:t>底线管控</w:t>
      </w:r>
      <w:bookmarkEnd w:id="32"/>
      <w:bookmarkEnd w:id="33"/>
      <w:bookmarkEnd w:id="34"/>
      <w:bookmarkEnd w:id="35"/>
    </w:p>
    <w:p w14:paraId="5C563E1F">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36" w:name="_Toc18921"/>
      <w:bookmarkStart w:id="37" w:name="_Toc13048"/>
      <w:r>
        <w:rPr>
          <w:rFonts w:hint="eastAsia" w:ascii="仿宋_GB2312" w:hAnsi="仿宋_GB2312" w:eastAsia="仿宋_GB2312" w:cs="仿宋_GB2312"/>
          <w:bCs/>
          <w:color w:val="auto"/>
          <w:szCs w:val="32"/>
        </w:rPr>
        <w:t>第5条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耕地和永久基本农田保护红线</w:t>
      </w:r>
      <w:bookmarkEnd w:id="36"/>
      <w:bookmarkEnd w:id="37"/>
    </w:p>
    <w:p w14:paraId="55BCF84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严格落实耕地和永久基本农田保护红线。到2035年，全市耕地保护目标不低于</w:t>
      </w:r>
      <w:r>
        <w:rPr>
          <w:rFonts w:hint="default" w:ascii="仿宋" w:hAnsi="仿宋" w:eastAsia="仿宋" w:cs="仿宋"/>
          <w:sz w:val="32"/>
          <w:szCs w:val="32"/>
        </w:rPr>
        <w:t>10.79万亩</w:t>
      </w:r>
      <w:r>
        <w:rPr>
          <w:rFonts w:hint="default" w:ascii="仿宋" w:hAnsi="仿宋" w:eastAsia="仿宋" w:cs="仿宋"/>
          <w:sz w:val="32"/>
          <w:szCs w:val="32"/>
          <w:lang w:val="zh-TW"/>
        </w:rPr>
        <w:t>，</w:t>
      </w:r>
      <w:bookmarkStart w:id="38" w:name="OLE_LINK8"/>
      <w:r>
        <w:rPr>
          <w:rFonts w:hint="default" w:ascii="仿宋" w:hAnsi="仿宋" w:eastAsia="仿宋" w:cs="仿宋"/>
          <w:sz w:val="32"/>
          <w:szCs w:val="32"/>
          <w:lang w:val="zh-TW"/>
        </w:rPr>
        <w:t>永久基本农田保护面积</w:t>
      </w:r>
      <w:bookmarkEnd w:id="38"/>
      <w:r>
        <w:rPr>
          <w:rFonts w:hint="default" w:ascii="仿宋" w:hAnsi="仿宋" w:eastAsia="仿宋" w:cs="仿宋"/>
          <w:sz w:val="32"/>
          <w:szCs w:val="32"/>
          <w:lang w:val="zh-TW"/>
        </w:rPr>
        <w:t>不低于</w:t>
      </w:r>
      <w:r>
        <w:rPr>
          <w:rFonts w:hint="default" w:ascii="仿宋" w:hAnsi="仿宋" w:eastAsia="仿宋" w:cs="仿宋"/>
          <w:sz w:val="32"/>
          <w:szCs w:val="32"/>
        </w:rPr>
        <w:t>9.55万亩</w:t>
      </w:r>
      <w:r>
        <w:rPr>
          <w:rFonts w:hint="default" w:ascii="仿宋" w:hAnsi="仿宋" w:eastAsia="仿宋" w:cs="仿宋"/>
          <w:sz w:val="32"/>
          <w:szCs w:val="32"/>
          <w:lang w:val="zh-TW"/>
        </w:rPr>
        <w:t>。</w:t>
      </w:r>
    </w:p>
    <w:p w14:paraId="4BE4B8A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严格耕地用途管制。不得在一般耕地上挖湖造景、种植草皮；不得在国家批准的生态退耕规划和计划外擅自扩大退耕还林还草还湿还湖规模；不得违规超标准在铁路、公路等用地红线外，以及河渠两侧、水库周边占用一般耕地种树建设绿化带；未经批准不得占用一般耕地实施国土绿化；未经批准工商企业等社会资本不得将通过流转获得土地经营权的一般耕地转为林地、园地等其他农用地。严格控制新增农村道路、畜禽养殖设施、水产养殖设施和破坏耕作层的种植业设施占用一般耕地。交通水利等重点基础设施建设项目尽量优化选线，不占或少占耕地。</w:t>
      </w:r>
    </w:p>
    <w:p w14:paraId="64C203F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严格落实永久基本农田特殊保护制度。永久基本农田不得转为林地、草地、园地等其他农用地及农业设施建设用地。永久基本农田重点用于粮食生产，已划定的永久基本农田，任何单位和个人不得擅自占用或者改变用途。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w:t>
      </w:r>
      <w:r>
        <w:rPr>
          <w:rFonts w:hint="eastAsia" w:ascii="仿宋" w:hAnsi="仿宋" w:cs="仿宋"/>
          <w:sz w:val="32"/>
          <w:szCs w:val="32"/>
          <w:lang w:val="zh-TW" w:eastAsia="zh-CN"/>
        </w:rPr>
        <w:t>；</w:t>
      </w:r>
      <w:r>
        <w:rPr>
          <w:rFonts w:hint="default" w:ascii="仿宋" w:hAnsi="仿宋" w:eastAsia="仿宋" w:cs="仿宋"/>
          <w:sz w:val="32"/>
          <w:szCs w:val="32"/>
          <w:lang w:val="zh-TW"/>
        </w:rPr>
        <w:t>不得以农业种植结构调整等理由改变永久基本农田的耕地地类属性。禁止任何单位和个人在</w:t>
      </w:r>
      <w:r>
        <w:rPr>
          <w:rFonts w:hint="default" w:ascii="仿宋" w:hAnsi="仿宋" w:eastAsia="仿宋" w:cs="仿宋"/>
          <w:sz w:val="32"/>
          <w:szCs w:val="32"/>
          <w:lang w:val="zh-TW" w:eastAsia="zh-CN"/>
        </w:rPr>
        <w:t>永久</w:t>
      </w:r>
      <w:r>
        <w:rPr>
          <w:rFonts w:hint="default" w:ascii="仿宋" w:hAnsi="仿宋" w:eastAsia="仿宋" w:cs="仿宋"/>
          <w:sz w:val="32"/>
          <w:szCs w:val="32"/>
          <w:lang w:val="zh-TW"/>
        </w:rPr>
        <w:t>基本农田保护区内建窑、建房、建坟、挖砂、采石、采矿、取土、堆放固体废弃物或者进行其他破坏</w:t>
      </w:r>
      <w:r>
        <w:rPr>
          <w:rFonts w:hint="default" w:ascii="仿宋" w:hAnsi="仿宋" w:eastAsia="仿宋" w:cs="仿宋"/>
          <w:sz w:val="32"/>
          <w:szCs w:val="32"/>
          <w:lang w:val="zh-TW" w:eastAsia="zh-CN"/>
        </w:rPr>
        <w:t>永久</w:t>
      </w:r>
      <w:r>
        <w:rPr>
          <w:rFonts w:hint="default" w:ascii="仿宋" w:hAnsi="仿宋" w:eastAsia="仿宋" w:cs="仿宋"/>
          <w:sz w:val="32"/>
          <w:szCs w:val="32"/>
          <w:lang w:val="zh-TW"/>
        </w:rPr>
        <w:t>基本农田的活动。</w:t>
      </w:r>
    </w:p>
    <w:p w14:paraId="6C457EBB">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39" w:name="_Toc8738"/>
      <w:bookmarkStart w:id="40" w:name="_Toc13882"/>
      <w:r>
        <w:rPr>
          <w:rFonts w:hint="eastAsia" w:ascii="仿宋_GB2312" w:hAnsi="仿宋_GB2312" w:eastAsia="仿宋_GB2312" w:cs="仿宋_GB2312"/>
          <w:bCs/>
          <w:color w:val="auto"/>
          <w:szCs w:val="32"/>
        </w:rPr>
        <w:t>第6条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生态保护红线</w:t>
      </w:r>
      <w:bookmarkEnd w:id="39"/>
      <w:bookmarkEnd w:id="40"/>
    </w:p>
    <w:p w14:paraId="6F39194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严格落实生态保护红线。到2035年，全市生态保护红线面积不低于471.76平方千米。乡村建设应严格遵守《广西生态保护红线监管办法（试行）》，严禁擅自改变生态保护红线内土地用途。</w:t>
      </w:r>
    </w:p>
    <w:p w14:paraId="269859B5">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zh-TW" w:eastAsia="zh-CN"/>
        </w:rPr>
      </w:pPr>
      <w:r>
        <w:rPr>
          <w:rFonts w:hint="eastAsia" w:ascii="Times New Roman" w:hAnsi="Times New Roman" w:cs="Times New Roman"/>
          <w:sz w:val="32"/>
          <w:szCs w:val="32"/>
          <w:highlight w:val="none"/>
          <w:lang w:val="en-US" w:eastAsia="zh-CN"/>
        </w:rPr>
        <w:t>（一）</w:t>
      </w:r>
      <w:r>
        <w:rPr>
          <w:rFonts w:hint="default" w:ascii="Times New Roman" w:hAnsi="Times New Roman" w:cs="Times New Roman"/>
          <w:sz w:val="32"/>
          <w:szCs w:val="32"/>
          <w:highlight w:val="none"/>
          <w:lang w:val="zh-TW" w:eastAsia="zh-CN"/>
        </w:rPr>
        <w:t>生态保护红线内允许的有限人为活动</w:t>
      </w:r>
    </w:p>
    <w:p w14:paraId="1BD2564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生态保护红线内，自然保护地核心保护区原则上禁止人为活动，自然保护地核心保护区以外的其他区域，严格禁止开发性、生产性建设活动，在符合现行法律法规前提下，除国家重大战略项目外，仅允许对生态功能不造成破坏的有限人为活动。</w:t>
      </w:r>
    </w:p>
    <w:p w14:paraId="06EF95C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1.管护巡护、保护执法、科学研究、调查监测、测绘导航、防灾减灾救灾、军事国防、疫情防控等活动及相关的必要设施修筑。</w:t>
      </w:r>
    </w:p>
    <w:p w14:paraId="0F05941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2.原住居民和其他合法权益主体，允许在不扩大现有建设用地、用岛、耕地、水产养殖规模和放牧强度（符合草畜平衡管理规定）的前提下，开展种植、放牧、捕捞、养殖（不包括投礁型海洋牧场、围海养殖）等活动，修筑生产生活设施。</w:t>
      </w:r>
    </w:p>
    <w:p w14:paraId="55C14EE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3.经依法批准的考古调查发掘、古生物化石调查发掘、标本采集和文物保护活动。</w:t>
      </w:r>
    </w:p>
    <w:p w14:paraId="5E3080A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4.按规定对人工商品林进行抚育采伐，或以提升森林质量、优化栖息地、建设生物防火隔离带等为目的的树种更新，依法开展的竹林采伐经营。</w:t>
      </w:r>
    </w:p>
    <w:p w14:paraId="65DE7B4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5.不破坏生态功能的适度参观旅游、科普宣教及符合相关规划的配套性服务设施和相关的必要公共设施建设及维护。</w:t>
      </w:r>
    </w:p>
    <w:p w14:paraId="59270CB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6.必须且无法避让、符合县级以上国土空间规划的线性基础设施、通讯和防洪、供水设施建设和船舶航行、航道疏浚清淤等活动；已有的合法水利、交通运输等设施运行维护改造。</w:t>
      </w:r>
    </w:p>
    <w:p w14:paraId="45E2F77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7.地质调查与矿产资源勘查开采。包括：基础地质调查和战略性矿产资源远景调查等公益性工作；铀矿勘查开采活动，可办理矿业权登记；已依法设立的油气探矿权继续勘查活动，可办理探矿权延续、变更（不含扩大勘查区块范围）、保留、注销，当发现可供开采油气资源并探明储量时，可将开采拟占用的地表或海域范围依照国家相关规定调出生态保护红线；已依法设立的油气采矿权不扩大用地用海范围，继续开采，可办理采矿权延续、变更（不含扩大矿区范围）、注销；已依法设立的矿泉水和地热采矿权，在不超出已经核定的生产规模、不新增生产设施的前提下继续开采，可办理采矿权延续、变更（不含扩大矿区范围）、注销；已依法设立和新立铬、铜、镍、锂、钴、锆、钾盐、（中）重稀土矿等战略性矿产探矿权开展勘查活动，可办理探矿权登记，因国家战略需要开展开采活动的，可办理采矿权登记。上述勘查开采活动，应落实减缓生态环境影响措施，严格执行绿色勘查、开采及矿山环境生态修复相关要求。</w:t>
      </w:r>
    </w:p>
    <w:p w14:paraId="059D612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8.依据县级以上国土空间规划和生态保护修复专项规划开展的生态修复。</w:t>
      </w:r>
    </w:p>
    <w:p w14:paraId="3CCD13E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en-US" w:eastAsia="zh-CN"/>
        </w:rPr>
        <w:t>9</w:t>
      </w:r>
      <w:r>
        <w:rPr>
          <w:rFonts w:hint="default" w:ascii="仿宋" w:hAnsi="仿宋" w:eastAsia="仿宋" w:cs="仿宋"/>
          <w:sz w:val="32"/>
          <w:szCs w:val="32"/>
          <w:lang w:val="zh-TW"/>
        </w:rPr>
        <w:t>.法律法规规定允许的其他人为活动。</w:t>
      </w:r>
    </w:p>
    <w:p w14:paraId="24A468D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规划实施期间，国家、自治区对生态保护红线管控规则有新要求的，从其规定。</w:t>
      </w:r>
    </w:p>
    <w:p w14:paraId="1713988D">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zh-TW" w:eastAsia="zh-CN"/>
        </w:rPr>
      </w:pPr>
      <w:r>
        <w:rPr>
          <w:rFonts w:hint="eastAsia" w:ascii="Times New Roman" w:hAnsi="Times New Roman" w:cs="Times New Roman"/>
          <w:sz w:val="32"/>
          <w:szCs w:val="32"/>
          <w:highlight w:val="none"/>
          <w:lang w:val="en-US" w:eastAsia="zh-CN"/>
        </w:rPr>
        <w:t>（二）</w:t>
      </w:r>
      <w:r>
        <w:rPr>
          <w:rFonts w:hint="default" w:ascii="Times New Roman" w:hAnsi="Times New Roman" w:cs="Times New Roman"/>
          <w:sz w:val="32"/>
          <w:szCs w:val="32"/>
          <w:highlight w:val="none"/>
          <w:lang w:val="en-US" w:eastAsia="zh-CN"/>
        </w:rPr>
        <w:t>自然保护地及其相关管控要求</w:t>
      </w:r>
    </w:p>
    <w:p w14:paraId="11E3412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荔浦市自然保护地包括</w:t>
      </w:r>
      <w:r>
        <w:rPr>
          <w:rFonts w:hint="default" w:ascii="仿宋" w:hAnsi="仿宋" w:eastAsia="仿宋" w:cs="仿宋"/>
          <w:sz w:val="32"/>
          <w:szCs w:val="32"/>
          <w:lang w:val="en-US" w:eastAsia="zh-CN"/>
        </w:rPr>
        <w:t>广西大瑶山国家级自然保护区、广西桂林架桥岭自治区级自然保护区、广西柳州拉沟自治区级自然保护区、广西荔浦荔江国家湿地公园，面积合计20688.68公顷。其中广西大瑶山国家级自然保护区涉及的乡镇为修仁镇、龙怀乡，面积657.27公顷；广西桂林架桥岭自治区级自然保护区</w:t>
      </w:r>
      <w:r>
        <w:rPr>
          <w:rFonts w:hint="default" w:ascii="仿宋" w:hAnsi="仿宋" w:eastAsia="仿宋" w:cs="仿宋"/>
          <w:sz w:val="32"/>
          <w:szCs w:val="32"/>
        </w:rPr>
        <w:t>涉及</w:t>
      </w:r>
      <w:r>
        <w:rPr>
          <w:rFonts w:hint="default" w:ascii="仿宋" w:hAnsi="仿宋" w:eastAsia="仿宋" w:cs="仿宋"/>
          <w:sz w:val="32"/>
          <w:szCs w:val="32"/>
          <w:lang w:eastAsia="zh-CN"/>
        </w:rPr>
        <w:t>的</w:t>
      </w:r>
      <w:r>
        <w:rPr>
          <w:rFonts w:hint="default" w:ascii="仿宋" w:hAnsi="仿宋" w:eastAsia="仿宋" w:cs="仿宋"/>
          <w:sz w:val="32"/>
          <w:szCs w:val="32"/>
        </w:rPr>
        <w:t>乡镇为</w:t>
      </w:r>
      <w:r>
        <w:rPr>
          <w:rFonts w:hint="default" w:ascii="仿宋" w:hAnsi="仿宋" w:eastAsia="仿宋" w:cs="仿宋"/>
          <w:sz w:val="32"/>
          <w:szCs w:val="32"/>
          <w:lang w:eastAsia="zh-CN"/>
        </w:rPr>
        <w:t>杜莫镇、青山镇、花篢镇、双江镇、龙怀乡、蒲芦瑶族乡</w:t>
      </w:r>
      <w:r>
        <w:rPr>
          <w:rFonts w:hint="default" w:ascii="仿宋" w:hAnsi="仿宋" w:eastAsia="仿宋" w:cs="仿宋"/>
          <w:sz w:val="32"/>
          <w:szCs w:val="32"/>
        </w:rPr>
        <w:t>，面积</w:t>
      </w:r>
      <w:r>
        <w:rPr>
          <w:rFonts w:hint="default" w:ascii="仿宋" w:hAnsi="仿宋" w:eastAsia="仿宋" w:cs="仿宋"/>
          <w:sz w:val="32"/>
          <w:szCs w:val="32"/>
          <w:lang w:val="en-US" w:eastAsia="zh-CN"/>
        </w:rPr>
        <w:t>19315.11</w:t>
      </w:r>
      <w:r>
        <w:rPr>
          <w:rFonts w:hint="default" w:ascii="仿宋" w:hAnsi="仿宋" w:eastAsia="仿宋" w:cs="仿宋"/>
          <w:sz w:val="32"/>
          <w:szCs w:val="32"/>
        </w:rPr>
        <w:t>公顷</w:t>
      </w:r>
      <w:r>
        <w:rPr>
          <w:rFonts w:hint="default" w:ascii="仿宋" w:hAnsi="仿宋" w:eastAsia="仿宋" w:cs="仿宋"/>
          <w:sz w:val="32"/>
          <w:szCs w:val="32"/>
          <w:lang w:eastAsia="zh-CN"/>
        </w:rPr>
        <w:t>；</w:t>
      </w:r>
      <w:r>
        <w:rPr>
          <w:rFonts w:hint="default" w:ascii="仿宋" w:hAnsi="仿宋" w:eastAsia="仿宋" w:cs="仿宋"/>
          <w:sz w:val="32"/>
          <w:szCs w:val="32"/>
          <w:lang w:val="en-US" w:eastAsia="zh-CN"/>
        </w:rPr>
        <w:t>广西柳州拉沟自治区级自然保护区涉及的乡镇为</w:t>
      </w:r>
      <w:r>
        <w:rPr>
          <w:rFonts w:hint="default" w:ascii="仿宋" w:hAnsi="仿宋" w:eastAsia="仿宋" w:cs="仿宋"/>
          <w:sz w:val="32"/>
          <w:szCs w:val="32"/>
          <w:lang w:eastAsia="zh-CN"/>
        </w:rPr>
        <w:t>蒲芦瑶族乡，面积</w:t>
      </w:r>
      <w:r>
        <w:rPr>
          <w:rFonts w:hint="default" w:ascii="仿宋" w:hAnsi="仿宋" w:eastAsia="仿宋" w:cs="仿宋"/>
          <w:sz w:val="32"/>
          <w:szCs w:val="32"/>
          <w:lang w:val="en-US" w:eastAsia="zh-CN"/>
        </w:rPr>
        <w:t>75.71公顷；广西荔浦荔江国家湿地公园涉及的乡镇为荔城镇、</w:t>
      </w:r>
      <w:r>
        <w:rPr>
          <w:rFonts w:hint="default" w:ascii="仿宋" w:hAnsi="仿宋" w:eastAsia="仿宋" w:cs="仿宋"/>
          <w:sz w:val="32"/>
          <w:szCs w:val="32"/>
          <w:lang w:eastAsia="zh-CN"/>
        </w:rPr>
        <w:t>杜莫镇、青山镇、</w:t>
      </w:r>
      <w:r>
        <w:rPr>
          <w:rFonts w:hint="default" w:ascii="仿宋" w:hAnsi="仿宋" w:eastAsia="仿宋" w:cs="仿宋"/>
          <w:sz w:val="32"/>
          <w:szCs w:val="32"/>
          <w:lang w:val="en-US" w:eastAsia="zh-CN"/>
        </w:rPr>
        <w:t>修仁镇、龙怀乡，面积640.59公顷</w:t>
      </w:r>
      <w:r>
        <w:rPr>
          <w:rFonts w:hint="default" w:ascii="仿宋" w:hAnsi="仿宋" w:eastAsia="仿宋" w:cs="仿宋"/>
          <w:sz w:val="32"/>
          <w:szCs w:val="32"/>
          <w:lang w:eastAsia="zh-CN"/>
        </w:rPr>
        <w:t>。</w:t>
      </w:r>
    </w:p>
    <w:p w14:paraId="6B95B2E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自然保护地核心区原则上禁止人为活动，一般控制区域严格禁止开发性、生产性建设活动，在符合现行法律法规前提下，除国家重大战略项目外，仅允许对生态功能不造成破坏的有限人为活动。</w:t>
      </w:r>
    </w:p>
    <w:p w14:paraId="1913E29D">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 w:cs="Times New Roman"/>
          <w:sz w:val="32"/>
          <w:szCs w:val="32"/>
          <w:lang w:val="zh-TW"/>
        </w:rPr>
      </w:pPr>
      <w:r>
        <w:rPr>
          <w:rFonts w:hint="eastAsia" w:ascii="Times New Roman" w:hAnsi="Times New Roman" w:cs="Times New Roman"/>
          <w:sz w:val="32"/>
          <w:szCs w:val="32"/>
          <w:highlight w:val="none"/>
          <w:lang w:val="en-US" w:eastAsia="zh-CN"/>
        </w:rPr>
        <w:t>（三）</w:t>
      </w:r>
      <w:r>
        <w:rPr>
          <w:rFonts w:hint="default" w:ascii="Times New Roman" w:hAnsi="Times New Roman" w:eastAsia="仿宋" w:cs="Times New Roman"/>
          <w:sz w:val="32"/>
          <w:szCs w:val="32"/>
          <w:lang w:val="zh-TW"/>
        </w:rPr>
        <w:t>生态保护红线内居民住宅建设相关要求</w:t>
      </w:r>
    </w:p>
    <w:p w14:paraId="01DD21D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eastAsia="zh-CN"/>
        </w:rPr>
      </w:pPr>
      <w:r>
        <w:rPr>
          <w:rFonts w:hint="default" w:ascii="仿宋" w:hAnsi="仿宋" w:eastAsia="仿宋" w:cs="仿宋"/>
          <w:sz w:val="32"/>
          <w:szCs w:val="32"/>
          <w:lang w:val="zh-TW" w:eastAsia="zh-CN"/>
        </w:rPr>
        <w:t>农村村民住宅建设应尽量避让生态保护红线，确需在生态保护红线内选址的，应符合《广西生态保护红线监管办法（试行）》的要求，并确保不突破所涉及生态保护红线管理单元现有建设用地规模，其中，不涉及新增建设用地的，由荔浦市政府出具符合生态保护红线内允许有限人为活动的认定意见，作为用地报批、规划许可、不动产登记的依据；涉及新增建设用地的，以桂林市为单位报自治区自然资源厅，通过自治区自然资源厅、生态环境厅、林业局、海洋局联合审查后按规定办理用地报批手续，自治区自然资源厅按季度报请出具认定意见。</w:t>
      </w:r>
    </w:p>
    <w:p w14:paraId="03F7796B">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41" w:name="_Toc12066"/>
      <w:bookmarkStart w:id="42" w:name="_Toc20886"/>
      <w:r>
        <w:rPr>
          <w:rFonts w:hint="eastAsia" w:ascii="仿宋_GB2312" w:hAnsi="仿宋_GB2312" w:eastAsia="仿宋_GB2312" w:cs="仿宋_GB2312"/>
          <w:bCs/>
          <w:color w:val="auto"/>
          <w:szCs w:val="32"/>
        </w:rPr>
        <w:t>第7条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村庄建设边界</w:t>
      </w:r>
      <w:bookmarkEnd w:id="41"/>
      <w:bookmarkEnd w:id="42"/>
    </w:p>
    <w:p w14:paraId="182CB10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严格控制全市村庄建设用地总规模。到2035年，全市村庄建设用地规模不得超过2020年度国土变更调查村庄建设用地（203图斑）面积</w:t>
      </w:r>
      <w:r>
        <w:rPr>
          <w:rFonts w:hint="default" w:ascii="仿宋" w:hAnsi="仿宋" w:eastAsia="仿宋" w:cs="仿宋"/>
          <w:sz w:val="32"/>
          <w:szCs w:val="32"/>
          <w:lang w:val="en-US" w:eastAsia="zh-CN"/>
        </w:rPr>
        <w:t>6500.25</w:t>
      </w:r>
      <w:r>
        <w:rPr>
          <w:rFonts w:hint="default" w:ascii="仿宋" w:hAnsi="仿宋" w:eastAsia="仿宋" w:cs="仿宋"/>
          <w:sz w:val="32"/>
          <w:szCs w:val="32"/>
          <w:lang w:val="zh-TW"/>
        </w:rPr>
        <w:t>公顷。</w:t>
      </w:r>
    </w:p>
    <w:p w14:paraId="00B165B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落实《荔浦市国土空间总体规划（2021</w:t>
      </w:r>
      <w:r>
        <w:rPr>
          <w:rFonts w:hint="eastAsia" w:ascii="仿宋" w:hAnsi="仿宋" w:eastAsia="仿宋" w:cs="仿宋"/>
          <w:sz w:val="32"/>
          <w:szCs w:val="32"/>
          <w:lang w:val="zh-TW" w:eastAsia="zh-CN"/>
        </w:rPr>
        <w:t>—</w:t>
      </w:r>
      <w:r>
        <w:rPr>
          <w:rFonts w:hint="default" w:ascii="仿宋" w:hAnsi="仿宋" w:eastAsia="仿宋" w:cs="仿宋"/>
          <w:sz w:val="32"/>
          <w:szCs w:val="32"/>
          <w:lang w:val="zh-TW"/>
        </w:rPr>
        <w:t>2035年）》分解下达各乡镇的村庄建设用地指标，并结合已编制的（含在编）村庄规划及各村实际发展需求，合理确定和分解下达各行政村村庄建设用地（203图斑）（详见附</w:t>
      </w:r>
      <w:r>
        <w:rPr>
          <w:rFonts w:hint="default" w:ascii="仿宋" w:hAnsi="仿宋" w:eastAsia="仿宋" w:cs="仿宋"/>
          <w:sz w:val="32"/>
          <w:szCs w:val="32"/>
          <w:lang w:val="zh-TW" w:eastAsia="zh-CN"/>
        </w:rPr>
        <w:t>录</w:t>
      </w:r>
      <w:r>
        <w:rPr>
          <w:rFonts w:hint="default" w:ascii="仿宋" w:hAnsi="仿宋" w:eastAsia="仿宋" w:cs="仿宋"/>
          <w:sz w:val="32"/>
          <w:szCs w:val="32"/>
          <w:lang w:val="en-US" w:eastAsia="zh-CN"/>
        </w:rPr>
        <w:t>E</w:t>
      </w:r>
      <w:r>
        <w:rPr>
          <w:rFonts w:hint="default" w:ascii="仿宋" w:hAnsi="仿宋" w:eastAsia="仿宋" w:cs="仿宋"/>
          <w:sz w:val="32"/>
          <w:szCs w:val="32"/>
          <w:lang w:val="zh-TW"/>
        </w:rPr>
        <w:t>）。</w:t>
      </w:r>
    </w:p>
    <w:p w14:paraId="1C4930C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严格控制村庄建设边界面积。以现状村庄建设用地（203图斑）为基础，引导乡村建设向村庄建设边界内集中。农村宅基地、产业发展、基础设施和公用</w:t>
      </w:r>
      <w:r>
        <w:rPr>
          <w:rFonts w:hint="default" w:ascii="仿宋" w:hAnsi="仿宋" w:eastAsia="仿宋" w:cs="仿宋"/>
          <w:sz w:val="32"/>
          <w:szCs w:val="32"/>
          <w:lang w:val="zh-TW" w:eastAsia="zh-CN"/>
        </w:rPr>
        <w:t>服务</w:t>
      </w:r>
      <w:r>
        <w:rPr>
          <w:rFonts w:hint="default" w:ascii="仿宋" w:hAnsi="仿宋" w:eastAsia="仿宋" w:cs="仿宋"/>
          <w:sz w:val="32"/>
          <w:szCs w:val="32"/>
          <w:lang w:val="zh-TW"/>
        </w:rPr>
        <w:t>设施等各项建设项目原则上应布局在村庄建设边界内，并经依法依规批准后方可进行建设。</w:t>
      </w:r>
    </w:p>
    <w:p w14:paraId="372114A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rPr>
        <w:t>为应对</w:t>
      </w:r>
      <w:r>
        <w:rPr>
          <w:rFonts w:hint="default" w:ascii="仿宋" w:hAnsi="仿宋" w:eastAsia="仿宋" w:cs="仿宋"/>
          <w:sz w:val="32"/>
          <w:szCs w:val="32"/>
          <w:lang w:eastAsia="zh-CN"/>
        </w:rPr>
        <w:t>荔浦市</w:t>
      </w:r>
      <w:r>
        <w:rPr>
          <w:rFonts w:hint="default" w:ascii="仿宋" w:hAnsi="仿宋" w:eastAsia="仿宋" w:cs="仿宋"/>
          <w:sz w:val="32"/>
          <w:szCs w:val="32"/>
        </w:rPr>
        <w:t>未来乡村发展的不确定性，增强规划实施弹性，</w:t>
      </w:r>
      <w:r>
        <w:rPr>
          <w:rFonts w:hint="default" w:ascii="仿宋" w:hAnsi="仿宋" w:eastAsia="仿宋" w:cs="仿宋"/>
          <w:sz w:val="32"/>
          <w:szCs w:val="32"/>
          <w:lang w:eastAsia="zh-CN"/>
        </w:rPr>
        <w:t>荔浦市</w:t>
      </w:r>
      <w:r>
        <w:rPr>
          <w:rFonts w:hint="default" w:ascii="仿宋" w:hAnsi="仿宋" w:eastAsia="仿宋" w:cs="仿宋"/>
          <w:sz w:val="32"/>
          <w:szCs w:val="32"/>
        </w:rPr>
        <w:t>层面</w:t>
      </w:r>
      <w:r>
        <w:rPr>
          <w:rFonts w:hint="default" w:ascii="仿宋" w:hAnsi="仿宋" w:eastAsia="仿宋" w:cs="仿宋"/>
          <w:sz w:val="32"/>
          <w:szCs w:val="32"/>
          <w:lang w:eastAsia="zh-CN"/>
        </w:rPr>
        <w:t>统筹</w:t>
      </w:r>
      <w:r>
        <w:rPr>
          <w:rFonts w:hint="default" w:ascii="仿宋" w:hAnsi="仿宋" w:eastAsia="仿宋" w:cs="仿宋"/>
          <w:sz w:val="32"/>
          <w:szCs w:val="32"/>
        </w:rPr>
        <w:t>预留1</w:t>
      </w:r>
      <w:r>
        <w:rPr>
          <w:rFonts w:hint="eastAsia" w:ascii="仿宋" w:hAnsi="仿宋" w:eastAsia="仿宋" w:cs="仿宋"/>
          <w:sz w:val="32"/>
          <w:szCs w:val="32"/>
          <w:lang w:val="en-US" w:eastAsia="zh-CN"/>
        </w:rPr>
        <w:t>40.6</w:t>
      </w:r>
      <w:r>
        <w:rPr>
          <w:rFonts w:hint="eastAsia" w:ascii="仿宋" w:hAnsi="仿宋" w:cs="仿宋"/>
          <w:sz w:val="32"/>
          <w:szCs w:val="32"/>
          <w:lang w:val="en-US" w:eastAsia="zh-CN"/>
        </w:rPr>
        <w:t>5</w:t>
      </w:r>
      <w:r>
        <w:rPr>
          <w:rFonts w:hint="default" w:ascii="仿宋" w:hAnsi="仿宋" w:eastAsia="仿宋" w:cs="仿宋"/>
          <w:sz w:val="32"/>
          <w:szCs w:val="32"/>
        </w:rPr>
        <w:t>公顷的村庄建设用地指标（暂不分解至各乡镇）。在规划实施过程中，各乡镇村庄建设用地指标已使用完，因村民住宅建设、农村公共公益设施建设、零星分散的乡村文旅设施及农村新产业新业态等项目建设确需新增建设用地的，由乡镇人民政府按程序向</w:t>
      </w:r>
      <w:r>
        <w:rPr>
          <w:rFonts w:hint="default" w:ascii="仿宋" w:hAnsi="仿宋" w:eastAsia="仿宋" w:cs="仿宋"/>
          <w:sz w:val="32"/>
          <w:szCs w:val="32"/>
          <w:lang w:eastAsia="zh-CN"/>
        </w:rPr>
        <w:t>荔浦市</w:t>
      </w:r>
      <w:r>
        <w:rPr>
          <w:rFonts w:hint="default" w:ascii="仿宋" w:hAnsi="仿宋" w:eastAsia="仿宋" w:cs="仿宋"/>
          <w:sz w:val="32"/>
          <w:szCs w:val="32"/>
        </w:rPr>
        <w:t>自然资源主管部门提出申请。经审核符合条件，报</w:t>
      </w:r>
      <w:r>
        <w:rPr>
          <w:rFonts w:hint="default" w:ascii="仿宋" w:hAnsi="仿宋" w:eastAsia="仿宋" w:cs="仿宋"/>
          <w:sz w:val="32"/>
          <w:szCs w:val="32"/>
          <w:lang w:eastAsia="zh-CN"/>
        </w:rPr>
        <w:t>荔浦市</w:t>
      </w:r>
      <w:r>
        <w:rPr>
          <w:rFonts w:hint="default" w:ascii="仿宋" w:hAnsi="仿宋" w:eastAsia="仿宋" w:cs="仿宋"/>
          <w:sz w:val="32"/>
          <w:szCs w:val="32"/>
        </w:rPr>
        <w:t>人民政府批准后，可按规定使用预留指标，并严格按自治区有关规定将指标落实到具体地块，同步更新至国土空间规划</w:t>
      </w:r>
      <w:r>
        <w:rPr>
          <w:rFonts w:hint="default" w:ascii="仿宋" w:hAnsi="仿宋" w:eastAsia="仿宋" w:cs="仿宋"/>
          <w:sz w:val="32"/>
          <w:szCs w:val="32"/>
          <w:lang w:eastAsia="zh-CN"/>
        </w:rPr>
        <w:t>“</w:t>
      </w:r>
      <w:r>
        <w:rPr>
          <w:rFonts w:hint="default" w:ascii="仿宋" w:hAnsi="仿宋" w:eastAsia="仿宋" w:cs="仿宋"/>
          <w:sz w:val="32"/>
          <w:szCs w:val="32"/>
        </w:rPr>
        <w:t>一张图</w:t>
      </w:r>
      <w:r>
        <w:rPr>
          <w:rFonts w:hint="default" w:ascii="仿宋" w:hAnsi="仿宋" w:eastAsia="仿宋" w:cs="仿宋"/>
          <w:sz w:val="32"/>
          <w:szCs w:val="32"/>
          <w:lang w:eastAsia="zh-CN"/>
        </w:rPr>
        <w:t>”</w:t>
      </w:r>
      <w:r>
        <w:rPr>
          <w:rFonts w:hint="default" w:ascii="仿宋" w:hAnsi="仿宋" w:eastAsia="仿宋" w:cs="仿宋"/>
          <w:sz w:val="32"/>
          <w:szCs w:val="32"/>
        </w:rPr>
        <w:t>。</w:t>
      </w:r>
      <w:r>
        <w:rPr>
          <w:rFonts w:hint="default" w:ascii="仿宋" w:hAnsi="仿宋" w:eastAsia="仿宋" w:cs="仿宋"/>
          <w:sz w:val="32"/>
          <w:szCs w:val="32"/>
          <w:lang w:eastAsia="zh-CN"/>
        </w:rPr>
        <w:t>荔浦市</w:t>
      </w:r>
      <w:r>
        <w:rPr>
          <w:rFonts w:hint="default" w:ascii="仿宋" w:hAnsi="仿宋" w:eastAsia="仿宋" w:cs="仿宋"/>
          <w:sz w:val="32"/>
          <w:szCs w:val="32"/>
        </w:rPr>
        <w:t>自然资源主管部门将对指标使用情况实施全过程台账管理和动态监管，确保指标使用规范有序、精准高效。</w:t>
      </w:r>
    </w:p>
    <w:p w14:paraId="5E4ED631">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43" w:name="_Toc17493"/>
      <w:bookmarkStart w:id="44" w:name="_Toc1097"/>
      <w:r>
        <w:rPr>
          <w:rFonts w:hint="eastAsia" w:ascii="仿宋_GB2312" w:hAnsi="仿宋_GB2312" w:eastAsia="仿宋_GB2312" w:cs="仿宋_GB2312"/>
          <w:bCs/>
          <w:color w:val="auto"/>
          <w:szCs w:val="32"/>
        </w:rPr>
        <w:t>第8条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其他底线红线</w:t>
      </w:r>
      <w:bookmarkEnd w:id="43"/>
      <w:bookmarkEnd w:id="44"/>
    </w:p>
    <w:p w14:paraId="01758BB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依据《</w:t>
      </w:r>
      <w:r>
        <w:rPr>
          <w:rFonts w:hint="default" w:ascii="仿宋" w:hAnsi="仿宋" w:eastAsia="仿宋" w:cs="仿宋"/>
          <w:sz w:val="32"/>
          <w:szCs w:val="32"/>
          <w:lang w:eastAsia="zh-CN"/>
        </w:rPr>
        <w:t>荔浦市</w:t>
      </w:r>
      <w:r>
        <w:rPr>
          <w:rFonts w:hint="default" w:ascii="仿宋" w:hAnsi="仿宋" w:eastAsia="仿宋" w:cs="仿宋"/>
          <w:sz w:val="32"/>
          <w:szCs w:val="32"/>
        </w:rPr>
        <w:t>国土空间总体规划（2021</w:t>
      </w:r>
      <w:r>
        <w:rPr>
          <w:rFonts w:hint="eastAsia" w:ascii="仿宋" w:hAnsi="仿宋" w:eastAsia="仿宋" w:cs="仿宋"/>
          <w:sz w:val="32"/>
          <w:szCs w:val="32"/>
          <w:lang w:eastAsia="zh-CN"/>
        </w:rPr>
        <w:t>—</w:t>
      </w:r>
      <w:r>
        <w:rPr>
          <w:rFonts w:hint="default" w:ascii="仿宋" w:hAnsi="仿宋" w:eastAsia="仿宋" w:cs="仿宋"/>
          <w:sz w:val="32"/>
          <w:szCs w:val="32"/>
        </w:rPr>
        <w:t>2035年）》落实历史文化保护线、洪涝风险控制线、河湖管理岸线、地质灾害风险控制线、自然保护地等其他控制线的相应管控要求，法律法规</w:t>
      </w:r>
      <w:r>
        <w:rPr>
          <w:rFonts w:hint="eastAsia" w:ascii="仿宋" w:hAnsi="仿宋" w:eastAsia="仿宋" w:cs="仿宋"/>
          <w:sz w:val="32"/>
          <w:szCs w:val="32"/>
          <w:lang w:eastAsia="zh-CN"/>
        </w:rPr>
        <w:t>和政</w:t>
      </w:r>
      <w:r>
        <w:rPr>
          <w:rFonts w:hint="default" w:ascii="仿宋" w:hAnsi="仿宋" w:eastAsia="仿宋" w:cs="仿宋"/>
          <w:sz w:val="32"/>
          <w:szCs w:val="32"/>
        </w:rPr>
        <w:t>策另有规定的，从其规定。</w:t>
      </w:r>
    </w:p>
    <w:p w14:paraId="1545E823">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default" w:ascii="楷体" w:hAnsi="楷体" w:eastAsia="楷体" w:cs="楷体"/>
        </w:rPr>
      </w:pPr>
      <w:bookmarkStart w:id="45" w:name="_Toc11542"/>
      <w:bookmarkStart w:id="46" w:name="_Toc26321"/>
      <w:bookmarkStart w:id="47" w:name="_Toc10993"/>
      <w:bookmarkStart w:id="48" w:name="_Toc11468"/>
      <w:r>
        <w:rPr>
          <w:rFonts w:hint="default" w:ascii="楷体" w:hAnsi="楷体" w:eastAsia="楷体" w:cs="楷体"/>
        </w:rPr>
        <w:t>第二节</w:t>
      </w:r>
      <w:r>
        <w:rPr>
          <w:rFonts w:hint="default" w:ascii="楷体" w:hAnsi="楷体" w:eastAsia="楷体" w:cs="楷体"/>
          <w:lang w:val="en-US" w:eastAsia="zh-CN"/>
        </w:rPr>
        <w:t xml:space="preserve"> </w:t>
      </w:r>
      <w:r>
        <w:rPr>
          <w:rFonts w:hint="default" w:ascii="楷体" w:hAnsi="楷体" w:eastAsia="楷体" w:cs="楷体"/>
        </w:rPr>
        <w:t>用地布局</w:t>
      </w:r>
      <w:bookmarkEnd w:id="45"/>
      <w:bookmarkEnd w:id="46"/>
      <w:bookmarkEnd w:id="47"/>
      <w:bookmarkEnd w:id="48"/>
    </w:p>
    <w:p w14:paraId="23BA63B9">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49" w:name="_Toc8951"/>
      <w:bookmarkStart w:id="50" w:name="_Toc17568"/>
      <w:r>
        <w:rPr>
          <w:rFonts w:hint="eastAsia" w:ascii="仿宋_GB2312" w:hAnsi="仿宋_GB2312" w:eastAsia="仿宋_GB2312" w:cs="仿宋_GB2312"/>
          <w:bCs/>
          <w:color w:val="auto"/>
          <w:szCs w:val="32"/>
        </w:rPr>
        <w:t>第9条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村庄建设用地布局通用要求</w:t>
      </w:r>
      <w:bookmarkEnd w:id="49"/>
      <w:bookmarkEnd w:id="50"/>
    </w:p>
    <w:p w14:paraId="07B981F3">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（一）</w:t>
      </w:r>
      <w:r>
        <w:rPr>
          <w:rFonts w:hint="default" w:ascii="Times New Roman" w:hAnsi="Times New Roman" w:cs="Times New Roman"/>
          <w:sz w:val="32"/>
          <w:szCs w:val="32"/>
          <w:highlight w:val="none"/>
          <w:lang w:val="en-US" w:eastAsia="zh-CN"/>
        </w:rPr>
        <w:t>选址原则</w:t>
      </w:r>
    </w:p>
    <w:p w14:paraId="0679E89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村民住宅、乡村公共服务设施、</w:t>
      </w:r>
      <w:r>
        <w:rPr>
          <w:rFonts w:hint="default" w:ascii="仿宋" w:hAnsi="仿宋" w:eastAsia="仿宋" w:cs="仿宋"/>
          <w:sz w:val="32"/>
          <w:szCs w:val="32"/>
          <w:lang w:val="zh-TW" w:eastAsia="zh-CN"/>
        </w:rPr>
        <w:t>基础设施和</w:t>
      </w:r>
      <w:r>
        <w:rPr>
          <w:rFonts w:hint="default" w:ascii="仿宋" w:hAnsi="仿宋" w:eastAsia="仿宋" w:cs="仿宋"/>
          <w:sz w:val="32"/>
          <w:szCs w:val="32"/>
          <w:lang w:val="zh-TW"/>
        </w:rPr>
        <w:t>公用设施、乡村产业等用地布局应当遵循的一般原则：</w:t>
      </w:r>
    </w:p>
    <w:p w14:paraId="57C18AD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1.</w:t>
      </w:r>
      <w:r>
        <w:rPr>
          <w:rFonts w:hint="default" w:ascii="仿宋" w:hAnsi="仿宋" w:eastAsia="仿宋" w:cs="仿宋"/>
          <w:sz w:val="32"/>
          <w:szCs w:val="32"/>
          <w:lang w:val="zh-TW"/>
        </w:rPr>
        <w:t>应选址在地质条件较好、环境适宜、交通方便的地段。</w:t>
      </w:r>
    </w:p>
    <w:p w14:paraId="3EA2B3E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2.</w:t>
      </w:r>
      <w:r>
        <w:rPr>
          <w:rFonts w:hint="default" w:ascii="仿宋" w:hAnsi="仿宋" w:eastAsia="仿宋" w:cs="仿宋"/>
          <w:sz w:val="32"/>
          <w:szCs w:val="32"/>
          <w:lang w:val="zh-TW"/>
        </w:rPr>
        <w:t>合理用地，节约用地，新增村庄建设用地应与农村土地综合整治相结合，充分利用原有闲置宅基地、村内空闲地、村周边的丘陵坡地或其他未利用地，少占或不占耕地。</w:t>
      </w:r>
    </w:p>
    <w:p w14:paraId="72EC96E3">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zh-TW" w:eastAsia="zh-CN"/>
        </w:rPr>
      </w:pPr>
      <w:r>
        <w:rPr>
          <w:rFonts w:hint="eastAsia" w:ascii="Times New Roman" w:hAnsi="Times New Roman" w:cs="Times New Roman"/>
          <w:sz w:val="32"/>
          <w:szCs w:val="32"/>
          <w:highlight w:val="none"/>
          <w:lang w:val="en-US" w:eastAsia="zh-CN"/>
        </w:rPr>
        <w:t>（二）</w:t>
      </w:r>
      <w:r>
        <w:rPr>
          <w:rFonts w:hint="default" w:ascii="Times New Roman" w:hAnsi="Times New Roman" w:cs="Times New Roman"/>
          <w:sz w:val="32"/>
          <w:szCs w:val="32"/>
          <w:highlight w:val="none"/>
          <w:lang w:val="en-US" w:eastAsia="zh-CN"/>
        </w:rPr>
        <w:t>禁止建设区域</w:t>
      </w:r>
    </w:p>
    <w:p w14:paraId="55AB4BF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村庄住宅、公共服务设施不得在下列地点或地段选址：</w:t>
      </w:r>
    </w:p>
    <w:p w14:paraId="1E24165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1.</w:t>
      </w:r>
      <w:r>
        <w:rPr>
          <w:rFonts w:hint="default" w:ascii="仿宋" w:hAnsi="仿宋" w:eastAsia="仿宋" w:cs="仿宋"/>
          <w:sz w:val="32"/>
          <w:szCs w:val="32"/>
          <w:lang w:val="zh-TW"/>
        </w:rPr>
        <w:t>山体滑坡、泥石流、危岩、塌陷等地质灾害易发区或次生灾害隐患易发地段、洪涝灾害危险地段。</w:t>
      </w:r>
    </w:p>
    <w:p w14:paraId="14BE532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2.</w:t>
      </w:r>
      <w:r>
        <w:rPr>
          <w:rFonts w:hint="default" w:ascii="仿宋" w:hAnsi="仿宋" w:eastAsia="仿宋" w:cs="仿宋"/>
          <w:sz w:val="32"/>
          <w:szCs w:val="32"/>
          <w:lang w:val="zh-TW"/>
        </w:rPr>
        <w:t>生态保护红线（原住居民住宅及必须的生产生活设施建设确需在生态保护红线内选址的，应符合《广西生态保护红线监管办法（试行）》的要求，并确保不突破所涉及的生态红线管理单元现有建设用地规模）</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永久基本农田保护区、永久基本农田储备区、生态资源保护区、饮用水源一级保护区、</w:t>
      </w:r>
      <w:r>
        <w:rPr>
          <w:rFonts w:hint="default" w:ascii="仿宋" w:hAnsi="仿宋" w:eastAsia="仿宋" w:cs="仿宋"/>
          <w:sz w:val="32"/>
          <w:szCs w:val="32"/>
          <w:lang w:val="zh-TW" w:eastAsia="zh-CN"/>
        </w:rPr>
        <w:t>湿地公园</w:t>
      </w:r>
      <w:r>
        <w:rPr>
          <w:rFonts w:hint="default" w:ascii="仿宋" w:hAnsi="仿宋" w:eastAsia="仿宋" w:cs="仿宋"/>
          <w:sz w:val="32"/>
          <w:szCs w:val="32"/>
          <w:lang w:val="zh-TW"/>
        </w:rPr>
        <w:t>、</w:t>
      </w:r>
      <w:r>
        <w:rPr>
          <w:rFonts w:hint="default" w:ascii="仿宋" w:hAnsi="仿宋" w:eastAsia="仿宋" w:cs="仿宋"/>
          <w:sz w:val="32"/>
          <w:szCs w:val="32"/>
          <w:lang w:val="zh-TW" w:eastAsia="zh-CN"/>
        </w:rPr>
        <w:t>自然保护区、</w:t>
      </w:r>
      <w:r>
        <w:rPr>
          <w:rFonts w:hint="default" w:ascii="仿宋" w:hAnsi="仿宋" w:eastAsia="仿宋" w:cs="仿宋"/>
          <w:sz w:val="32"/>
          <w:szCs w:val="32"/>
          <w:lang w:val="zh-TW"/>
        </w:rPr>
        <w:t>历史文化核心保护等实行禁止建设管制的区域。</w:t>
      </w:r>
    </w:p>
    <w:p w14:paraId="1E0BDB3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3.</w:t>
      </w:r>
      <w:r>
        <w:rPr>
          <w:rFonts w:hint="default" w:ascii="仿宋" w:hAnsi="仿宋" w:eastAsia="仿宋" w:cs="仿宋"/>
          <w:sz w:val="32"/>
          <w:szCs w:val="32"/>
          <w:lang w:val="zh-TW"/>
        </w:rPr>
        <w:t>河道管理范围及水库等水利工程管理范围内。</w:t>
      </w:r>
    </w:p>
    <w:p w14:paraId="64B87BF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4.</w:t>
      </w:r>
      <w:r>
        <w:rPr>
          <w:rFonts w:hint="default" w:ascii="仿宋" w:hAnsi="仿宋" w:eastAsia="仿宋" w:cs="仿宋"/>
          <w:sz w:val="32"/>
          <w:szCs w:val="32"/>
          <w:lang w:val="zh-TW"/>
        </w:rPr>
        <w:t>危险化学品生产企业、危险化学品储存仓库或危房边。</w:t>
      </w:r>
    </w:p>
    <w:p w14:paraId="7738D35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5.</w:t>
      </w:r>
      <w:r>
        <w:rPr>
          <w:rFonts w:hint="default" w:ascii="仿宋" w:hAnsi="仿宋" w:eastAsia="仿宋" w:cs="仿宋"/>
          <w:sz w:val="32"/>
          <w:szCs w:val="32"/>
          <w:lang w:val="zh-TW"/>
        </w:rPr>
        <w:t>输油、输气管道上</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高压供电走廊下。</w:t>
      </w:r>
    </w:p>
    <w:p w14:paraId="33B4185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6.</w:t>
      </w:r>
      <w:r>
        <w:rPr>
          <w:rFonts w:hint="default" w:ascii="仿宋" w:hAnsi="仿宋" w:eastAsia="仿宋" w:cs="仿宋"/>
          <w:sz w:val="32"/>
          <w:szCs w:val="32"/>
          <w:lang w:val="zh-TW"/>
        </w:rPr>
        <w:t>法律、法规禁止建设建（构）筑物的其他区域。</w:t>
      </w:r>
    </w:p>
    <w:p w14:paraId="17797F2E">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（三）</w:t>
      </w:r>
      <w:r>
        <w:rPr>
          <w:rFonts w:hint="default" w:ascii="Times New Roman" w:hAnsi="Times New Roman" w:cs="Times New Roman"/>
          <w:sz w:val="32"/>
          <w:szCs w:val="32"/>
          <w:highlight w:val="none"/>
          <w:lang w:val="en-US" w:eastAsia="zh-CN"/>
        </w:rPr>
        <w:t>特殊区域建设要求</w:t>
      </w:r>
    </w:p>
    <w:p w14:paraId="54F1DC1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rPr>
        <w:t>原住居民住宅及必要生产生活设施确需在生态保护红线内建设的，应符合《广西生态保护红线监管办法（试行）》规定。</w:t>
      </w:r>
      <w:bookmarkStart w:id="51" w:name="OLE_LINK3"/>
      <w:r>
        <w:rPr>
          <w:rFonts w:hint="default" w:ascii="仿宋" w:hAnsi="仿宋" w:eastAsia="仿宋" w:cs="仿宋"/>
          <w:sz w:val="32"/>
          <w:szCs w:val="32"/>
        </w:rPr>
        <w:t>历史文化</w:t>
      </w:r>
      <w:r>
        <w:rPr>
          <w:rFonts w:hint="default" w:ascii="仿宋" w:hAnsi="仿宋" w:eastAsia="仿宋" w:cs="仿宋"/>
          <w:sz w:val="32"/>
          <w:szCs w:val="32"/>
          <w:lang w:eastAsia="zh-CN"/>
        </w:rPr>
        <w:t>名镇</w:t>
      </w:r>
      <w:r>
        <w:rPr>
          <w:rFonts w:hint="default" w:ascii="仿宋" w:hAnsi="仿宋" w:eastAsia="仿宋" w:cs="仿宋"/>
          <w:sz w:val="32"/>
          <w:szCs w:val="32"/>
        </w:rPr>
        <w:t>名村核心保护区内的住宅及必要生产生活设施建设</w:t>
      </w:r>
      <w:bookmarkEnd w:id="51"/>
      <w:r>
        <w:rPr>
          <w:rFonts w:hint="default" w:ascii="仿宋" w:hAnsi="仿宋" w:eastAsia="仿宋" w:cs="仿宋"/>
          <w:sz w:val="32"/>
          <w:szCs w:val="32"/>
        </w:rPr>
        <w:t>，应符合传统风貌保护要求，新建、改建房屋需经文物部门审批。</w:t>
      </w:r>
    </w:p>
    <w:p w14:paraId="278FBD05">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52" w:name="_Toc30033"/>
      <w:bookmarkStart w:id="53" w:name="_Toc3960"/>
      <w:bookmarkStart w:id="54" w:name="OLE_LINK10"/>
      <w:r>
        <w:rPr>
          <w:rFonts w:hint="eastAsia" w:ascii="仿宋_GB2312" w:hAnsi="仿宋_GB2312" w:eastAsia="仿宋_GB2312" w:cs="仿宋_GB2312"/>
          <w:bCs/>
          <w:color w:val="auto"/>
          <w:szCs w:val="32"/>
        </w:rPr>
        <w:t>第10条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村民住房</w:t>
      </w:r>
      <w:bookmarkEnd w:id="52"/>
      <w:bookmarkEnd w:id="53"/>
      <w:bookmarkEnd w:id="54"/>
    </w:p>
    <w:p w14:paraId="320BBD8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除通用要求外，村民住宅选址布局还应当符合以下要求：</w:t>
      </w:r>
    </w:p>
    <w:p w14:paraId="1908FCB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（一）</w:t>
      </w:r>
      <w:r>
        <w:rPr>
          <w:rFonts w:hint="default" w:ascii="仿宋" w:hAnsi="仿宋" w:eastAsia="仿宋" w:cs="仿宋"/>
          <w:sz w:val="32"/>
          <w:szCs w:val="32"/>
        </w:rPr>
        <w:t>遵循</w:t>
      </w:r>
      <w:r>
        <w:rPr>
          <w:rFonts w:hint="default" w:ascii="仿宋" w:hAnsi="仿宋" w:eastAsia="仿宋" w:cs="仿宋"/>
          <w:sz w:val="32"/>
          <w:szCs w:val="32"/>
          <w:lang w:eastAsia="zh-CN"/>
        </w:rPr>
        <w:t>“</w:t>
      </w:r>
      <w:r>
        <w:rPr>
          <w:rFonts w:hint="default" w:ascii="仿宋" w:hAnsi="仿宋" w:eastAsia="仿宋" w:cs="仿宋"/>
          <w:sz w:val="32"/>
          <w:szCs w:val="32"/>
        </w:rPr>
        <w:t>集聚发展、适度留白</w:t>
      </w:r>
      <w:r>
        <w:rPr>
          <w:rFonts w:hint="default" w:ascii="仿宋" w:hAnsi="仿宋" w:eastAsia="仿宋" w:cs="仿宋"/>
          <w:sz w:val="32"/>
          <w:szCs w:val="32"/>
          <w:lang w:eastAsia="zh-CN"/>
        </w:rPr>
        <w:t>”“节约集约用地”</w:t>
      </w:r>
      <w:r>
        <w:rPr>
          <w:rFonts w:hint="default" w:ascii="仿宋" w:hAnsi="仿宋" w:eastAsia="仿宋" w:cs="仿宋"/>
          <w:sz w:val="32"/>
          <w:szCs w:val="32"/>
        </w:rPr>
        <w:t>原则，引导集聚、预留空间，优先在村庄建设边界内选址，鼓励通过盘活闲置宅基地实现住房建设需求。</w:t>
      </w:r>
    </w:p>
    <w:p w14:paraId="01EA082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（二）</w:t>
      </w:r>
      <w:r>
        <w:rPr>
          <w:rFonts w:hint="default" w:ascii="仿宋" w:hAnsi="仿宋" w:eastAsia="仿宋" w:cs="仿宋"/>
          <w:sz w:val="32"/>
          <w:szCs w:val="32"/>
        </w:rPr>
        <w:t>严格控制利用山体切坡作为建设选址用地，确实无法避让的，应治理达到安全标准及相关要求后方可作为选址用地。</w:t>
      </w:r>
    </w:p>
    <w:p w14:paraId="106D5F5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（三）</w:t>
      </w:r>
      <w:r>
        <w:rPr>
          <w:rFonts w:hint="default" w:ascii="仿宋" w:hAnsi="仿宋" w:eastAsia="仿宋" w:cs="仿宋"/>
          <w:sz w:val="32"/>
          <w:szCs w:val="32"/>
        </w:rPr>
        <w:t>严格落实</w:t>
      </w:r>
      <w:r>
        <w:rPr>
          <w:rFonts w:hint="default" w:ascii="仿宋" w:hAnsi="仿宋" w:eastAsia="仿宋" w:cs="仿宋"/>
          <w:sz w:val="32"/>
          <w:szCs w:val="32"/>
          <w:lang w:eastAsia="zh-CN"/>
        </w:rPr>
        <w:t>“</w:t>
      </w:r>
      <w:r>
        <w:rPr>
          <w:rFonts w:hint="default" w:ascii="仿宋" w:hAnsi="仿宋" w:eastAsia="仿宋" w:cs="仿宋"/>
          <w:sz w:val="32"/>
          <w:szCs w:val="32"/>
        </w:rPr>
        <w:t>一户一宅</w:t>
      </w:r>
      <w:r>
        <w:rPr>
          <w:rFonts w:hint="default" w:ascii="仿宋" w:hAnsi="仿宋" w:eastAsia="仿宋" w:cs="仿宋"/>
          <w:sz w:val="32"/>
          <w:szCs w:val="32"/>
          <w:lang w:eastAsia="zh-CN"/>
        </w:rPr>
        <w:t>”</w:t>
      </w:r>
      <w:r>
        <w:rPr>
          <w:rFonts w:hint="default" w:ascii="仿宋" w:hAnsi="仿宋" w:eastAsia="仿宋" w:cs="仿宋"/>
          <w:sz w:val="32"/>
          <w:szCs w:val="32"/>
        </w:rPr>
        <w:t>政策要求，引导在村庄建设边界内选址、盘活利用闲置宅基地。经批准易地建造住宅的，应当严格按照</w:t>
      </w:r>
      <w:r>
        <w:rPr>
          <w:rFonts w:hint="default" w:ascii="仿宋" w:hAnsi="仿宋" w:eastAsia="仿宋" w:cs="仿宋"/>
          <w:sz w:val="32"/>
          <w:szCs w:val="32"/>
          <w:lang w:eastAsia="zh-CN"/>
        </w:rPr>
        <w:t>“</w:t>
      </w:r>
      <w:r>
        <w:rPr>
          <w:rFonts w:hint="default" w:ascii="仿宋" w:hAnsi="仿宋" w:eastAsia="仿宋" w:cs="仿宋"/>
          <w:sz w:val="32"/>
          <w:szCs w:val="32"/>
        </w:rPr>
        <w:t>建新拆旧</w:t>
      </w:r>
      <w:r>
        <w:rPr>
          <w:rFonts w:hint="default" w:ascii="仿宋" w:hAnsi="仿宋" w:eastAsia="仿宋" w:cs="仿宋"/>
          <w:sz w:val="32"/>
          <w:szCs w:val="32"/>
          <w:lang w:eastAsia="zh-CN"/>
        </w:rPr>
        <w:t>”</w:t>
      </w:r>
      <w:r>
        <w:rPr>
          <w:rFonts w:hint="default" w:ascii="仿宋" w:hAnsi="仿宋" w:eastAsia="仿宋" w:cs="仿宋"/>
          <w:sz w:val="32"/>
          <w:szCs w:val="32"/>
        </w:rPr>
        <w:t>要求将原宅基地交还给村集体。</w:t>
      </w:r>
    </w:p>
    <w:p w14:paraId="6174C25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（四）</w:t>
      </w:r>
      <w:r>
        <w:rPr>
          <w:rFonts w:hint="default" w:ascii="仿宋" w:hAnsi="仿宋" w:eastAsia="仿宋" w:cs="仿宋"/>
          <w:sz w:val="32"/>
          <w:szCs w:val="32"/>
        </w:rPr>
        <w:t>符合上位及相关规划对住宅建设选址的管控要求</w:t>
      </w:r>
      <w:r>
        <w:rPr>
          <w:rFonts w:hint="default" w:ascii="仿宋" w:hAnsi="仿宋" w:eastAsia="仿宋" w:cs="仿宋"/>
          <w:sz w:val="32"/>
          <w:szCs w:val="32"/>
          <w:lang w:eastAsia="zh-CN"/>
        </w:rPr>
        <w:t>。</w:t>
      </w:r>
    </w:p>
    <w:p w14:paraId="407AFBF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bookmarkStart w:id="55" w:name="OLE_LINK9"/>
      <w:r>
        <w:rPr>
          <w:rFonts w:hint="eastAsia" w:ascii="仿宋" w:hAnsi="仿宋" w:eastAsia="仿宋" w:cs="仿宋"/>
          <w:sz w:val="32"/>
          <w:szCs w:val="32"/>
          <w:lang w:val="en-US" w:eastAsia="zh-CN"/>
        </w:rPr>
        <w:t>（五）</w:t>
      </w:r>
      <w:r>
        <w:rPr>
          <w:rFonts w:hint="default" w:ascii="仿宋" w:hAnsi="仿宋" w:eastAsia="仿宋" w:cs="仿宋"/>
          <w:sz w:val="32"/>
          <w:szCs w:val="32"/>
        </w:rPr>
        <w:t>新建、改建村庄需要在农村集体经济组织之间置换土地的，应当经相关村庄的村民会议三分之二以上成员或者三分之二以上的村民代表同意，</w:t>
      </w:r>
      <w:bookmarkEnd w:id="55"/>
      <w:r>
        <w:rPr>
          <w:rFonts w:hint="default" w:ascii="仿宋" w:hAnsi="仿宋" w:eastAsia="仿宋" w:cs="仿宋"/>
          <w:sz w:val="32"/>
          <w:szCs w:val="32"/>
        </w:rPr>
        <w:t>并依法办理土地变更登记手续。因置换土地造成被置换土地利害关系人合法权益损失的，应当按照有关规定给予公平合理补偿。</w:t>
      </w:r>
    </w:p>
    <w:p w14:paraId="717C94B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（六）</w:t>
      </w:r>
      <w:r>
        <w:rPr>
          <w:rFonts w:hint="default" w:ascii="仿宋" w:hAnsi="仿宋" w:eastAsia="仿宋" w:cs="仿宋"/>
          <w:sz w:val="32"/>
          <w:szCs w:val="32"/>
        </w:rPr>
        <w:t>村民住房建设负面清单</w:t>
      </w:r>
    </w:p>
    <w:p w14:paraId="789226D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村民住房建设应严格遵循《中华人民共和国土地管理法》等法律法规，落实农村乱占耕地建房“八不准”等政策文件要求，坚决遏制违规建房行为。农村建房负面清单如下：</w:t>
      </w:r>
    </w:p>
    <w:p w14:paraId="39A93C2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w:t>
      </w:r>
      <w:r>
        <w:rPr>
          <w:rFonts w:hint="default" w:ascii="仿宋" w:hAnsi="仿宋" w:eastAsia="仿宋" w:cs="仿宋"/>
          <w:sz w:val="32"/>
          <w:szCs w:val="32"/>
        </w:rPr>
        <w:t>严禁占用永久基本农田建房</w:t>
      </w:r>
    </w:p>
    <w:p w14:paraId="12FBE2D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永久基本农田经依法划定后，任何单位和个人不得擅自占用或改变用途。农村村民建住宅一律不得占用永久基本农田，违者须拆除建筑并复耕，涉及基本农田5亩以上且造成种植条件毁坏的，依法追究刑事责任。</w:t>
      </w:r>
    </w:p>
    <w:p w14:paraId="6045E6C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2.</w:t>
      </w:r>
      <w:r>
        <w:rPr>
          <w:rFonts w:hint="default" w:ascii="仿宋" w:hAnsi="仿宋" w:eastAsia="仿宋" w:cs="仿宋"/>
          <w:sz w:val="32"/>
          <w:szCs w:val="32"/>
        </w:rPr>
        <w:t>严禁强占多占耕地建房</w:t>
      </w:r>
    </w:p>
    <w:p w14:paraId="6594E03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eastAsia="zh-CN"/>
        </w:rPr>
        <w:t>“</w:t>
      </w:r>
      <w:r>
        <w:rPr>
          <w:rFonts w:hint="default" w:ascii="仿宋" w:hAnsi="仿宋" w:eastAsia="仿宋" w:cs="仿宋"/>
          <w:sz w:val="32"/>
          <w:szCs w:val="32"/>
        </w:rPr>
        <w:t>强占</w:t>
      </w:r>
      <w:r>
        <w:rPr>
          <w:rFonts w:hint="default" w:ascii="仿宋" w:hAnsi="仿宋" w:eastAsia="仿宋" w:cs="仿宋"/>
          <w:sz w:val="32"/>
          <w:szCs w:val="32"/>
          <w:lang w:eastAsia="zh-CN"/>
        </w:rPr>
        <w:t>”</w:t>
      </w:r>
      <w:r>
        <w:rPr>
          <w:rFonts w:hint="default" w:ascii="仿宋" w:hAnsi="仿宋" w:eastAsia="仿宋" w:cs="仿宋"/>
          <w:sz w:val="32"/>
          <w:szCs w:val="32"/>
        </w:rPr>
        <w:t>指未经审批占用耕地，</w:t>
      </w:r>
      <w:r>
        <w:rPr>
          <w:rFonts w:hint="default" w:ascii="仿宋" w:hAnsi="仿宋" w:eastAsia="仿宋" w:cs="仿宋"/>
          <w:sz w:val="32"/>
          <w:szCs w:val="32"/>
          <w:lang w:eastAsia="zh-CN"/>
        </w:rPr>
        <w:t>“</w:t>
      </w:r>
      <w:r>
        <w:rPr>
          <w:rFonts w:hint="default" w:ascii="仿宋" w:hAnsi="仿宋" w:eastAsia="仿宋" w:cs="仿宋"/>
          <w:sz w:val="32"/>
          <w:szCs w:val="32"/>
        </w:rPr>
        <w:t>多占</w:t>
      </w:r>
      <w:r>
        <w:rPr>
          <w:rFonts w:hint="default" w:ascii="仿宋" w:hAnsi="仿宋" w:eastAsia="仿宋" w:cs="仿宋"/>
          <w:sz w:val="32"/>
          <w:szCs w:val="32"/>
          <w:lang w:eastAsia="zh-CN"/>
        </w:rPr>
        <w:t>”</w:t>
      </w:r>
      <w:r>
        <w:rPr>
          <w:rFonts w:hint="default" w:ascii="仿宋" w:hAnsi="仿宋" w:eastAsia="仿宋" w:cs="仿宋"/>
          <w:sz w:val="32"/>
          <w:szCs w:val="32"/>
        </w:rPr>
        <w:t>指超出合法批准面积占用土地。多占部分以非法占地论处，由农业农村或自然资源主管部门责令拆除，恢复土地原状。</w:t>
      </w:r>
    </w:p>
    <w:p w14:paraId="224E1E8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严禁买卖、流转耕地违法建房</w:t>
      </w:r>
    </w:p>
    <w:p w14:paraId="0543DB7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耕地流转不得改变土地农业用途。以买卖、流转方式将耕地用于建房的，买卖协议无效，没收违法所得并处罚款；涉及基本农田5亩以上或非法获利50万元以上的，</w:t>
      </w:r>
      <w:r>
        <w:rPr>
          <w:rFonts w:hint="eastAsia" w:ascii="仿宋" w:hAnsi="仿宋" w:cs="仿宋"/>
          <w:sz w:val="32"/>
          <w:szCs w:val="32"/>
          <w:lang w:val="en-US" w:eastAsia="zh-CN"/>
        </w:rPr>
        <w:t>依法</w:t>
      </w:r>
      <w:r>
        <w:rPr>
          <w:rFonts w:hint="default" w:ascii="仿宋" w:hAnsi="仿宋" w:eastAsia="仿宋" w:cs="仿宋"/>
          <w:sz w:val="32"/>
          <w:szCs w:val="32"/>
        </w:rPr>
        <w:t>追究刑事责任。</w:t>
      </w:r>
    </w:p>
    <w:p w14:paraId="522932C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4.</w:t>
      </w:r>
      <w:r>
        <w:rPr>
          <w:rFonts w:hint="default" w:ascii="仿宋" w:hAnsi="仿宋" w:eastAsia="仿宋" w:cs="仿宋"/>
          <w:sz w:val="32"/>
          <w:szCs w:val="32"/>
        </w:rPr>
        <w:t>严禁在承包耕地上擅自建房</w:t>
      </w:r>
    </w:p>
    <w:p w14:paraId="1AFD5DB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承包方须按合同约定用途使用耕地，未经批准不得用于非农建设。违者按非法占地处罚，承包方还须赔偿土地永久性损害损失。</w:t>
      </w:r>
    </w:p>
    <w:p w14:paraId="7F55853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5.</w:t>
      </w:r>
      <w:r>
        <w:rPr>
          <w:rFonts w:hint="default" w:ascii="仿宋" w:hAnsi="仿宋" w:eastAsia="仿宋" w:cs="仿宋"/>
          <w:sz w:val="32"/>
          <w:szCs w:val="32"/>
        </w:rPr>
        <w:t>严禁巧立名目占用耕地建房</w:t>
      </w:r>
    </w:p>
    <w:p w14:paraId="2C153B1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假借</w:t>
      </w:r>
      <w:r>
        <w:rPr>
          <w:rFonts w:hint="default" w:ascii="仿宋" w:hAnsi="仿宋" w:eastAsia="仿宋" w:cs="仿宋"/>
          <w:sz w:val="32"/>
          <w:szCs w:val="32"/>
          <w:lang w:eastAsia="zh-CN"/>
        </w:rPr>
        <w:t>“</w:t>
      </w:r>
      <w:r>
        <w:rPr>
          <w:rFonts w:hint="default" w:ascii="仿宋" w:hAnsi="仿宋" w:eastAsia="仿宋" w:cs="仿宋"/>
          <w:sz w:val="32"/>
          <w:szCs w:val="32"/>
        </w:rPr>
        <w:t>乡村振兴</w:t>
      </w:r>
      <w:r>
        <w:rPr>
          <w:rFonts w:hint="default" w:ascii="仿宋" w:hAnsi="仿宋" w:eastAsia="仿宋" w:cs="仿宋"/>
          <w:sz w:val="32"/>
          <w:szCs w:val="32"/>
          <w:lang w:eastAsia="zh-CN"/>
        </w:rPr>
        <w:t>”“</w:t>
      </w:r>
      <w:r>
        <w:rPr>
          <w:rFonts w:hint="default" w:ascii="仿宋" w:hAnsi="仿宋" w:eastAsia="仿宋" w:cs="仿宋"/>
          <w:sz w:val="32"/>
          <w:szCs w:val="32"/>
        </w:rPr>
        <w:t>设施农业</w:t>
      </w:r>
      <w:r>
        <w:rPr>
          <w:rFonts w:hint="default" w:ascii="仿宋" w:hAnsi="仿宋" w:eastAsia="仿宋" w:cs="仿宋"/>
          <w:sz w:val="32"/>
          <w:szCs w:val="32"/>
          <w:lang w:eastAsia="zh-CN"/>
        </w:rPr>
        <w:t>”“</w:t>
      </w:r>
      <w:r>
        <w:rPr>
          <w:rFonts w:hint="default" w:ascii="仿宋" w:hAnsi="仿宋" w:eastAsia="仿宋" w:cs="仿宋"/>
          <w:sz w:val="32"/>
          <w:szCs w:val="32"/>
        </w:rPr>
        <w:t>非遗项目</w:t>
      </w:r>
      <w:r>
        <w:rPr>
          <w:rFonts w:hint="default" w:ascii="仿宋" w:hAnsi="仿宋" w:eastAsia="仿宋" w:cs="仿宋"/>
          <w:sz w:val="32"/>
          <w:szCs w:val="32"/>
          <w:lang w:eastAsia="zh-CN"/>
        </w:rPr>
        <w:t>”</w:t>
      </w:r>
      <w:r>
        <w:rPr>
          <w:rFonts w:hint="default" w:ascii="仿宋" w:hAnsi="仿宋" w:eastAsia="仿宋" w:cs="仿宋"/>
          <w:sz w:val="32"/>
          <w:szCs w:val="32"/>
        </w:rPr>
        <w:t>等名义未批先建的，均属违法。</w:t>
      </w:r>
    </w:p>
    <w:p w14:paraId="6FDD36C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default" w:ascii="仿宋" w:hAnsi="仿宋" w:eastAsia="仿宋" w:cs="仿宋"/>
          <w:sz w:val="32"/>
          <w:szCs w:val="32"/>
        </w:rPr>
        <w:t>严禁违反</w:t>
      </w:r>
      <w:r>
        <w:rPr>
          <w:rFonts w:hint="default" w:ascii="仿宋" w:hAnsi="仿宋" w:eastAsia="仿宋" w:cs="仿宋"/>
          <w:sz w:val="32"/>
          <w:szCs w:val="32"/>
          <w:lang w:eastAsia="zh-CN"/>
        </w:rPr>
        <w:t>“</w:t>
      </w:r>
      <w:r>
        <w:rPr>
          <w:rFonts w:hint="default" w:ascii="仿宋" w:hAnsi="仿宋" w:eastAsia="仿宋" w:cs="仿宋"/>
          <w:sz w:val="32"/>
          <w:szCs w:val="32"/>
        </w:rPr>
        <w:t>一户一宅</w:t>
      </w:r>
      <w:r>
        <w:rPr>
          <w:rFonts w:hint="default" w:ascii="仿宋" w:hAnsi="仿宋" w:eastAsia="仿宋" w:cs="仿宋"/>
          <w:sz w:val="32"/>
          <w:szCs w:val="32"/>
          <w:lang w:eastAsia="zh-CN"/>
        </w:rPr>
        <w:t>”</w:t>
      </w:r>
      <w:r>
        <w:rPr>
          <w:rFonts w:hint="default" w:ascii="仿宋" w:hAnsi="仿宋" w:eastAsia="仿宋" w:cs="仿宋"/>
          <w:sz w:val="32"/>
          <w:szCs w:val="32"/>
        </w:rPr>
        <w:t>规定占用耕地</w:t>
      </w:r>
      <w:r>
        <w:rPr>
          <w:rFonts w:hint="eastAsia" w:ascii="仿宋" w:hAnsi="仿宋" w:cs="仿宋"/>
          <w:sz w:val="32"/>
          <w:szCs w:val="32"/>
          <w:lang w:val="en-US" w:eastAsia="zh-CN"/>
        </w:rPr>
        <w:t>建房</w:t>
      </w:r>
    </w:p>
    <w:p w14:paraId="44D6A8F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农村村民每户仅限一处宅基地，面积不得</w:t>
      </w:r>
      <w:r>
        <w:rPr>
          <w:rFonts w:hint="eastAsia" w:ascii="仿宋" w:hAnsi="仿宋" w:eastAsia="仿宋" w:cs="仿宋"/>
          <w:sz w:val="32"/>
          <w:szCs w:val="32"/>
          <w:lang w:eastAsia="zh-CN"/>
        </w:rPr>
        <w:t>超过</w:t>
      </w:r>
      <w:r>
        <w:rPr>
          <w:rFonts w:hint="default" w:ascii="仿宋" w:hAnsi="仿宋" w:eastAsia="仿宋" w:cs="仿宋"/>
          <w:sz w:val="32"/>
          <w:szCs w:val="32"/>
        </w:rPr>
        <w:t>自治区规定的标准（平原地区和城市郊区每户宅基地面积不得超过一百平方米，丘陵地区、山区每户宅基地面积不得超过一百五十平方米）。出卖、出租住宅后重新申请的，不予批准</w:t>
      </w:r>
      <w:r>
        <w:rPr>
          <w:rFonts w:hint="default" w:ascii="仿宋" w:hAnsi="仿宋" w:eastAsia="仿宋" w:cs="仿宋"/>
          <w:sz w:val="32"/>
          <w:szCs w:val="32"/>
          <w:lang w:eastAsia="zh-CN"/>
        </w:rPr>
        <w:t>；</w:t>
      </w:r>
      <w:r>
        <w:rPr>
          <w:rFonts w:hint="default" w:ascii="仿宋" w:hAnsi="仿宋" w:eastAsia="仿宋" w:cs="仿宋"/>
          <w:sz w:val="32"/>
          <w:szCs w:val="32"/>
        </w:rPr>
        <w:t>违者按未批先建拆除房屋。</w:t>
      </w:r>
    </w:p>
    <w:p w14:paraId="5A768FD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cs="仿宋"/>
          <w:sz w:val="32"/>
          <w:szCs w:val="32"/>
          <w:lang w:val="en-US" w:eastAsia="zh-CN"/>
        </w:rPr>
        <w:t>7</w:t>
      </w:r>
      <w:r>
        <w:rPr>
          <w:rFonts w:hint="eastAsia" w:ascii="仿宋" w:hAnsi="仿宋" w:eastAsia="仿宋" w:cs="仿宋"/>
          <w:sz w:val="32"/>
          <w:szCs w:val="32"/>
          <w:lang w:val="en-US" w:eastAsia="zh-CN"/>
        </w:rPr>
        <w:t>.</w:t>
      </w:r>
      <w:r>
        <w:rPr>
          <w:rFonts w:hint="default" w:ascii="仿宋" w:hAnsi="仿宋" w:eastAsia="仿宋" w:cs="仿宋"/>
          <w:sz w:val="32"/>
          <w:szCs w:val="32"/>
        </w:rPr>
        <w:t>严禁非法出售占用耕地所建房屋</w:t>
      </w:r>
    </w:p>
    <w:p w14:paraId="232C755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违法占用耕地建设的房屋（如</w:t>
      </w:r>
      <w:r>
        <w:rPr>
          <w:rFonts w:hint="default" w:ascii="仿宋" w:hAnsi="仿宋" w:eastAsia="仿宋" w:cs="仿宋"/>
          <w:sz w:val="32"/>
          <w:szCs w:val="32"/>
          <w:lang w:eastAsia="zh-CN"/>
        </w:rPr>
        <w:t>“</w:t>
      </w:r>
      <w:r>
        <w:rPr>
          <w:rFonts w:hint="default" w:ascii="仿宋" w:hAnsi="仿宋" w:eastAsia="仿宋" w:cs="仿宋"/>
          <w:sz w:val="32"/>
          <w:szCs w:val="32"/>
        </w:rPr>
        <w:t>小产权房</w:t>
      </w:r>
      <w:r>
        <w:rPr>
          <w:rFonts w:hint="default" w:ascii="仿宋" w:hAnsi="仿宋" w:eastAsia="仿宋" w:cs="仿宋"/>
          <w:sz w:val="32"/>
          <w:szCs w:val="32"/>
          <w:lang w:eastAsia="zh-CN"/>
        </w:rPr>
        <w:t>”</w:t>
      </w:r>
      <w:r>
        <w:rPr>
          <w:rFonts w:hint="default" w:ascii="仿宋" w:hAnsi="仿宋" w:eastAsia="仿宋" w:cs="仿宋"/>
          <w:sz w:val="32"/>
          <w:szCs w:val="32"/>
        </w:rPr>
        <w:t>）属违法建筑，买卖不受法律保护，无法办理不动产登记。出售行为无效，占地行为按非法转让土地处罚。</w:t>
      </w:r>
    </w:p>
    <w:p w14:paraId="170AB04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lang w:val="en-US" w:eastAsia="zh-CN"/>
        </w:rPr>
      </w:pPr>
      <w:r>
        <w:rPr>
          <w:rFonts w:hint="eastAsia" w:ascii="仿宋" w:hAnsi="仿宋" w:cs="仿宋"/>
          <w:sz w:val="32"/>
          <w:szCs w:val="32"/>
          <w:lang w:val="en-US" w:eastAsia="zh-CN"/>
        </w:rPr>
        <w:t>8</w:t>
      </w:r>
      <w:r>
        <w:rPr>
          <w:rFonts w:hint="eastAsia" w:ascii="仿宋" w:hAnsi="仿宋" w:eastAsia="仿宋" w:cs="仿宋"/>
          <w:sz w:val="32"/>
          <w:szCs w:val="32"/>
          <w:lang w:val="en-US" w:eastAsia="zh-CN"/>
        </w:rPr>
        <w:t>.</w:t>
      </w:r>
      <w:r>
        <w:rPr>
          <w:rFonts w:hint="default" w:ascii="仿宋" w:hAnsi="仿宋" w:eastAsia="仿宋" w:cs="仿宋"/>
          <w:sz w:val="32"/>
          <w:szCs w:val="32"/>
        </w:rPr>
        <w:t>严禁违法审批占用耕地</w:t>
      </w:r>
      <w:r>
        <w:rPr>
          <w:rFonts w:hint="eastAsia" w:ascii="仿宋" w:hAnsi="仿宋" w:cs="仿宋"/>
          <w:sz w:val="32"/>
          <w:szCs w:val="32"/>
          <w:lang w:val="en-US" w:eastAsia="zh-CN"/>
        </w:rPr>
        <w:t>建房</w:t>
      </w:r>
    </w:p>
    <w:p w14:paraId="7E63966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无权或越权审批、违反规划批地的，批准文件无效。对责任人员给予处分</w:t>
      </w:r>
      <w:r>
        <w:rPr>
          <w:rFonts w:hint="default" w:ascii="仿宋" w:hAnsi="仿宋" w:eastAsia="仿宋" w:cs="仿宋"/>
          <w:sz w:val="32"/>
          <w:szCs w:val="32"/>
          <w:lang w:eastAsia="zh-CN"/>
        </w:rPr>
        <w:t>；</w:t>
      </w:r>
      <w:r>
        <w:rPr>
          <w:rFonts w:hint="default" w:ascii="仿宋" w:hAnsi="仿宋" w:eastAsia="仿宋" w:cs="仿宋"/>
          <w:sz w:val="32"/>
          <w:szCs w:val="32"/>
        </w:rPr>
        <w:t>造成基本农田10亩以上毁坏的，</w:t>
      </w:r>
      <w:r>
        <w:rPr>
          <w:rFonts w:hint="eastAsia" w:ascii="仿宋" w:hAnsi="仿宋" w:cs="仿宋"/>
          <w:sz w:val="32"/>
          <w:szCs w:val="32"/>
          <w:lang w:val="en-US" w:eastAsia="zh-CN"/>
        </w:rPr>
        <w:t>依法</w:t>
      </w:r>
      <w:r>
        <w:rPr>
          <w:rFonts w:hint="default" w:ascii="仿宋" w:hAnsi="仿宋" w:eastAsia="仿宋" w:cs="仿宋"/>
          <w:sz w:val="32"/>
          <w:szCs w:val="32"/>
        </w:rPr>
        <w:t>追究刑事责任。</w:t>
      </w:r>
    </w:p>
    <w:p w14:paraId="76376A95">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56" w:name="_Toc1782"/>
      <w:bookmarkStart w:id="57" w:name="_Toc21758"/>
      <w:bookmarkStart w:id="58" w:name="_Toc25766"/>
      <w:bookmarkStart w:id="59" w:name="_Toc8635"/>
      <w:bookmarkStart w:id="60" w:name="_Toc15852"/>
      <w:r>
        <w:rPr>
          <w:rFonts w:hint="eastAsia" w:ascii="仿宋_GB2312" w:hAnsi="仿宋_GB2312" w:eastAsia="仿宋_GB2312" w:cs="仿宋_GB2312"/>
          <w:bCs/>
          <w:color w:val="auto"/>
          <w:szCs w:val="32"/>
        </w:rPr>
        <w:t>第11条 乡村公共服务设施</w:t>
      </w:r>
      <w:bookmarkEnd w:id="56"/>
      <w:bookmarkEnd w:id="57"/>
      <w:bookmarkEnd w:id="58"/>
      <w:bookmarkEnd w:id="59"/>
    </w:p>
    <w:p w14:paraId="212B424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除通用要求外，公共服务设施选址还应当符合以下要求：</w:t>
      </w:r>
    </w:p>
    <w:p w14:paraId="4EFFE20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default" w:ascii="仿宋" w:hAnsi="仿宋" w:eastAsia="仿宋" w:cs="仿宋"/>
          <w:sz w:val="32"/>
          <w:szCs w:val="32"/>
        </w:rPr>
        <w:t>鼓励乡村公共服务设施充分利用现有存量建设用地空间，综合行政管理、治理服务、医疗卫生、文化体育等功能复合设置，选址宜布置在位置适中、内外联系方便的地段，方便村民使用</w:t>
      </w:r>
      <w:r>
        <w:rPr>
          <w:rFonts w:hint="eastAsia" w:ascii="仿宋" w:hAnsi="仿宋" w:cs="仿宋"/>
          <w:sz w:val="32"/>
          <w:szCs w:val="32"/>
          <w:lang w:eastAsia="zh-CN"/>
        </w:rPr>
        <w:t>。</w:t>
      </w:r>
      <w:r>
        <w:rPr>
          <w:rFonts w:hint="default" w:ascii="仿宋" w:hAnsi="仿宋" w:eastAsia="仿宋" w:cs="仿宋"/>
          <w:sz w:val="32"/>
          <w:szCs w:val="32"/>
        </w:rPr>
        <w:t>鼓励有条件的村村之间、村镇（乡）之间、村城之间共享公共服务设施，注重相邻村庄之间服务要素的错位配置和共享</w:t>
      </w:r>
      <w:r>
        <w:rPr>
          <w:rFonts w:hint="eastAsia" w:ascii="仿宋" w:hAnsi="仿宋" w:cs="仿宋"/>
          <w:sz w:val="32"/>
          <w:szCs w:val="32"/>
          <w:lang w:val="en-US" w:eastAsia="zh-CN"/>
        </w:rPr>
        <w:t>使用</w:t>
      </w:r>
      <w:r>
        <w:rPr>
          <w:rFonts w:hint="default" w:ascii="仿宋" w:hAnsi="仿宋" w:eastAsia="仿宋" w:cs="仿宋"/>
          <w:sz w:val="32"/>
          <w:szCs w:val="32"/>
        </w:rPr>
        <w:t>，以促进农村土地节约集约利用，保障乡村基本公共服务水平</w:t>
      </w:r>
      <w:r>
        <w:rPr>
          <w:rFonts w:hint="eastAsia" w:ascii="仿宋" w:hAnsi="仿宋" w:cs="仿宋"/>
          <w:sz w:val="32"/>
          <w:szCs w:val="32"/>
          <w:lang w:eastAsia="zh-CN"/>
        </w:rPr>
        <w:t>。</w:t>
      </w:r>
    </w:p>
    <w:p w14:paraId="5A03D45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eastAsia" w:ascii="仿宋" w:hAnsi="仿宋" w:cs="仿宋"/>
          <w:szCs w:val="32"/>
        </w:rPr>
        <w:t>村级公共服务设施的类型和规模参照《社区生活圈规划技术指南》（TD/T1062-2021）和《广西壮族自治区低成本实用性简易型村庄规划编制技术导则（试行）》（桂自然资办〔2023〕289号）执行。鼓励各类服务设施共建共享，提高使用效率，功能关联合并建设的公共服务设施，可依据实际使用需求及相关标准，酌情缩减规模。</w:t>
      </w:r>
    </w:p>
    <w:p w14:paraId="33E8AE5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cs="仿宋"/>
          <w:sz w:val="32"/>
          <w:szCs w:val="32"/>
          <w:lang w:val="en-US" w:eastAsia="zh-CN"/>
        </w:rPr>
        <w:t>三</w:t>
      </w:r>
      <w:r>
        <w:rPr>
          <w:rFonts w:hint="eastAsia" w:ascii="仿宋" w:hAnsi="仿宋" w:eastAsia="仿宋" w:cs="仿宋"/>
          <w:sz w:val="32"/>
          <w:szCs w:val="32"/>
          <w:lang w:val="en-US" w:eastAsia="zh-CN"/>
        </w:rPr>
        <w:t>）</w:t>
      </w:r>
      <w:r>
        <w:rPr>
          <w:rFonts w:hint="default" w:ascii="仿宋" w:hAnsi="仿宋" w:cs="仿宋"/>
          <w:szCs w:val="32"/>
        </w:rPr>
        <w:t>农村幼儿园、中小学、卫生所等公共建筑的建设，应符合现行国家、自治区、地方的法律法规规章以及国家技术标准和相关专项规划中明确的建设要求，布局要求参考下表。</w:t>
      </w:r>
    </w:p>
    <w:p w14:paraId="4238DC7B">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eastAsia" w:ascii="仿宋" w:hAnsi="仿宋" w:eastAsia="仿宋" w:cs="华文中宋"/>
          <w:b/>
          <w:bCs/>
          <w:sz w:val="28"/>
          <w:szCs w:val="28"/>
        </w:rPr>
      </w:pPr>
      <w:r>
        <w:rPr>
          <w:rFonts w:hint="eastAsia" w:ascii="仿宋" w:hAnsi="仿宋" w:eastAsia="仿宋" w:cs="华文中宋"/>
          <w:b/>
          <w:bCs/>
          <w:sz w:val="28"/>
          <w:szCs w:val="28"/>
        </w:rPr>
        <w:t>表1</w:t>
      </w:r>
      <w:r>
        <w:rPr>
          <w:rFonts w:hint="eastAsia" w:ascii="仿宋" w:hAnsi="仿宋" w:eastAsia="仿宋" w:cs="华文中宋"/>
          <w:b/>
          <w:bCs/>
          <w:sz w:val="28"/>
          <w:szCs w:val="28"/>
          <w:lang w:eastAsia="zh-CN"/>
        </w:rPr>
        <w:t>：</w:t>
      </w:r>
      <w:r>
        <w:rPr>
          <w:rFonts w:hint="eastAsia" w:ascii="仿宋" w:hAnsi="仿宋" w:eastAsia="仿宋" w:cs="华文中宋"/>
          <w:b/>
          <w:bCs/>
          <w:sz w:val="28"/>
          <w:szCs w:val="28"/>
        </w:rPr>
        <w:t>小学、幼儿园其他选址要求一览表</w:t>
      </w:r>
    </w:p>
    <w:tbl>
      <w:tblPr>
        <w:tblStyle w:val="31"/>
        <w:tblW w:w="88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2"/>
        <w:gridCol w:w="6126"/>
        <w:gridCol w:w="807"/>
        <w:gridCol w:w="997"/>
      </w:tblGrid>
      <w:tr w14:paraId="1FE4C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blHeader/>
        </w:trPr>
        <w:tc>
          <w:tcPr>
            <w:tcW w:w="922" w:type="dxa"/>
            <w:vAlign w:val="center"/>
          </w:tcPr>
          <w:p w14:paraId="4C76F85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r>
              <w:rPr>
                <w:rFonts w:hint="eastAsia" w:ascii="仿宋" w:hAnsi="仿宋" w:eastAsia="仿宋" w:cs="华文中宋"/>
                <w:b/>
                <w:bCs/>
                <w:sz w:val="24"/>
                <w:szCs w:val="24"/>
              </w:rPr>
              <w:t>序号</w:t>
            </w:r>
          </w:p>
        </w:tc>
        <w:tc>
          <w:tcPr>
            <w:tcW w:w="6126" w:type="dxa"/>
            <w:vAlign w:val="center"/>
          </w:tcPr>
          <w:p w14:paraId="3B483EB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r>
              <w:rPr>
                <w:rFonts w:hint="eastAsia" w:ascii="仿宋" w:hAnsi="仿宋" w:eastAsia="仿宋" w:cs="华文中宋"/>
                <w:b/>
                <w:bCs/>
                <w:sz w:val="24"/>
                <w:szCs w:val="24"/>
              </w:rPr>
              <w:t>选址一般要求</w:t>
            </w:r>
          </w:p>
        </w:tc>
        <w:tc>
          <w:tcPr>
            <w:tcW w:w="807" w:type="dxa"/>
            <w:vAlign w:val="center"/>
          </w:tcPr>
          <w:p w14:paraId="449BBEF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r>
              <w:rPr>
                <w:rFonts w:hint="eastAsia" w:ascii="仿宋" w:hAnsi="仿宋" w:eastAsia="仿宋" w:cs="华文中宋"/>
                <w:b/>
                <w:bCs/>
                <w:sz w:val="24"/>
                <w:szCs w:val="24"/>
              </w:rPr>
              <w:t>小学</w:t>
            </w:r>
          </w:p>
        </w:tc>
        <w:tc>
          <w:tcPr>
            <w:tcW w:w="997" w:type="dxa"/>
            <w:vAlign w:val="center"/>
          </w:tcPr>
          <w:p w14:paraId="6BA41BE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r>
              <w:rPr>
                <w:rFonts w:hint="eastAsia" w:ascii="仿宋" w:hAnsi="仿宋" w:eastAsia="仿宋" w:cs="华文中宋"/>
                <w:b/>
                <w:bCs/>
                <w:sz w:val="24"/>
                <w:szCs w:val="24"/>
              </w:rPr>
              <w:t>幼儿园</w:t>
            </w:r>
          </w:p>
        </w:tc>
      </w:tr>
      <w:tr w14:paraId="3EFE2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22" w:type="dxa"/>
            <w:vAlign w:val="center"/>
          </w:tcPr>
          <w:p w14:paraId="24FBC5B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1</w:t>
            </w:r>
          </w:p>
        </w:tc>
        <w:tc>
          <w:tcPr>
            <w:tcW w:w="6126" w:type="dxa"/>
            <w:vAlign w:val="center"/>
          </w:tcPr>
          <w:p w14:paraId="15A5AF6A">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符合所在辖区内农村义务教育学校布局专项规划的总体要求，在规定的区域内选址。</w:t>
            </w:r>
          </w:p>
        </w:tc>
        <w:tc>
          <w:tcPr>
            <w:tcW w:w="807" w:type="dxa"/>
            <w:vAlign w:val="center"/>
          </w:tcPr>
          <w:p w14:paraId="3A74FEF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14:paraId="450C3E2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14:paraId="38679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22" w:type="dxa"/>
            <w:vAlign w:val="center"/>
          </w:tcPr>
          <w:p w14:paraId="53628C3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2</w:t>
            </w:r>
          </w:p>
        </w:tc>
        <w:tc>
          <w:tcPr>
            <w:tcW w:w="6126" w:type="dxa"/>
            <w:vAlign w:val="center"/>
          </w:tcPr>
          <w:p w14:paraId="3D2DF8DB">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应选址在地质条件较好、环境适宜、阳光充足、交通方便、场地平整、排水通畅、基础设施完善、周边绿色植被丰富，符合卫生和环保要求的宜建地带。</w:t>
            </w:r>
          </w:p>
        </w:tc>
        <w:tc>
          <w:tcPr>
            <w:tcW w:w="807" w:type="dxa"/>
            <w:vAlign w:val="center"/>
          </w:tcPr>
          <w:p w14:paraId="331FAA7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14:paraId="71E5EB7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14:paraId="4485B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22" w:type="dxa"/>
            <w:vAlign w:val="center"/>
          </w:tcPr>
          <w:p w14:paraId="191D8F6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3</w:t>
            </w:r>
          </w:p>
        </w:tc>
        <w:tc>
          <w:tcPr>
            <w:tcW w:w="6126" w:type="dxa"/>
            <w:vAlign w:val="center"/>
          </w:tcPr>
          <w:p w14:paraId="30CAD260">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必须避开地震危险地段、可能发生地质灾害和洪水灾害的区域等不安全地带，避开输油、输气管道和高压供电走廊等。</w:t>
            </w:r>
          </w:p>
        </w:tc>
        <w:tc>
          <w:tcPr>
            <w:tcW w:w="807" w:type="dxa"/>
            <w:vAlign w:val="center"/>
          </w:tcPr>
          <w:p w14:paraId="70CC8C7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14:paraId="2F69B7F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14:paraId="0B48A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22" w:type="dxa"/>
            <w:vAlign w:val="center"/>
          </w:tcPr>
          <w:p w14:paraId="4709251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4</w:t>
            </w:r>
          </w:p>
        </w:tc>
        <w:tc>
          <w:tcPr>
            <w:tcW w:w="6126" w:type="dxa"/>
            <w:vAlign w:val="center"/>
          </w:tcPr>
          <w:p w14:paraId="63F6C9D3">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应避免学生就读时跨越公路干线、无立交设施的铁路、无安全通行防护设施的河流及水域。</w:t>
            </w:r>
          </w:p>
        </w:tc>
        <w:tc>
          <w:tcPr>
            <w:tcW w:w="807" w:type="dxa"/>
            <w:vAlign w:val="center"/>
          </w:tcPr>
          <w:p w14:paraId="2729793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14:paraId="03880C6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14:paraId="49514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22" w:type="dxa"/>
            <w:vAlign w:val="center"/>
          </w:tcPr>
          <w:p w14:paraId="6612593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5</w:t>
            </w:r>
          </w:p>
        </w:tc>
        <w:tc>
          <w:tcPr>
            <w:tcW w:w="6126" w:type="dxa"/>
            <w:vAlign w:val="center"/>
          </w:tcPr>
          <w:p w14:paraId="1E904773">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必须与铁路、高速公路、机场及飞机起降航线有足够的安全、卫生防护距离。应避开主要交通干道、建筑的阴影区等。</w:t>
            </w:r>
          </w:p>
        </w:tc>
        <w:tc>
          <w:tcPr>
            <w:tcW w:w="807" w:type="dxa"/>
            <w:vAlign w:val="center"/>
          </w:tcPr>
          <w:p w14:paraId="1248A74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14:paraId="2B3382F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14:paraId="36DC8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22" w:type="dxa"/>
            <w:vAlign w:val="center"/>
          </w:tcPr>
          <w:p w14:paraId="08E8AA1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6</w:t>
            </w:r>
          </w:p>
        </w:tc>
        <w:tc>
          <w:tcPr>
            <w:tcW w:w="6126" w:type="dxa"/>
            <w:vAlign w:val="center"/>
          </w:tcPr>
          <w:p w14:paraId="264EA60C">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不应与公共娱乐场所、集贸市场、医院传染病房、太平间、殡仪馆、气源调压站、高压变配电所、易燃易爆危险品仓库、加油站、公安看守所、垃圾中转站及污水处理站等喧闹脏乱、不利于学龄儿童身心健康的场所毗邻。</w:t>
            </w:r>
          </w:p>
        </w:tc>
        <w:tc>
          <w:tcPr>
            <w:tcW w:w="807" w:type="dxa"/>
            <w:vAlign w:val="center"/>
          </w:tcPr>
          <w:p w14:paraId="72B6581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14:paraId="0644B57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14:paraId="0AD10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22" w:type="dxa"/>
            <w:vAlign w:val="center"/>
          </w:tcPr>
          <w:p w14:paraId="0E439DB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7</w:t>
            </w:r>
          </w:p>
        </w:tc>
        <w:tc>
          <w:tcPr>
            <w:tcW w:w="6126" w:type="dxa"/>
            <w:vAlign w:val="center"/>
          </w:tcPr>
          <w:p w14:paraId="07835F6E">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不应与生产经营贮藏有毒有害、易燃易爆物品等危及安全的场所毗邻；不应与通信发</w:t>
            </w:r>
            <w:r>
              <w:rPr>
                <w:rFonts w:hint="eastAsia" w:ascii="仿宋" w:hAnsi="仿宋" w:cs="华文中宋"/>
                <w:kern w:val="0"/>
                <w:sz w:val="24"/>
                <w:szCs w:val="24"/>
                <w:lang w:eastAsia="zh-CN"/>
              </w:rPr>
              <w:t>射</w:t>
            </w:r>
            <w:bookmarkStart w:id="189" w:name="_GoBack"/>
            <w:bookmarkEnd w:id="189"/>
            <w:r>
              <w:rPr>
                <w:rFonts w:hint="eastAsia" w:ascii="仿宋" w:hAnsi="仿宋" w:eastAsia="仿宋" w:cs="华文中宋"/>
                <w:kern w:val="0"/>
                <w:sz w:val="24"/>
                <w:szCs w:val="24"/>
              </w:rPr>
              <w:t>塔</w:t>
            </w:r>
            <w:r>
              <w:rPr>
                <w:rFonts w:hint="eastAsia" w:ascii="仿宋" w:hAnsi="仿宋" w:eastAsia="仿宋" w:cs="华文中宋"/>
                <w:kern w:val="0"/>
                <w:sz w:val="24"/>
                <w:szCs w:val="24"/>
                <w:lang w:eastAsia="zh-CN"/>
              </w:rPr>
              <w:t>（</w:t>
            </w:r>
            <w:r>
              <w:rPr>
                <w:rFonts w:hint="eastAsia" w:ascii="仿宋" w:hAnsi="仿宋" w:eastAsia="仿宋" w:cs="华文中宋"/>
                <w:kern w:val="0"/>
                <w:sz w:val="24"/>
                <w:szCs w:val="24"/>
              </w:rPr>
              <w:t>台</w:t>
            </w:r>
            <w:r>
              <w:rPr>
                <w:rFonts w:hint="eastAsia" w:ascii="仿宋" w:hAnsi="仿宋" w:eastAsia="仿宋" w:cs="华文中宋"/>
                <w:kern w:val="0"/>
                <w:sz w:val="24"/>
                <w:szCs w:val="24"/>
                <w:lang w:eastAsia="zh-CN"/>
              </w:rPr>
              <w:t>）</w:t>
            </w:r>
            <w:r>
              <w:rPr>
                <w:rFonts w:hint="eastAsia" w:ascii="仿宋" w:hAnsi="仿宋" w:eastAsia="仿宋" w:cs="华文中宋"/>
                <w:kern w:val="0"/>
                <w:sz w:val="24"/>
                <w:szCs w:val="24"/>
              </w:rPr>
              <w:t>等有较强电磁波辐射的场所毗邻。</w:t>
            </w:r>
          </w:p>
        </w:tc>
        <w:tc>
          <w:tcPr>
            <w:tcW w:w="807" w:type="dxa"/>
            <w:vAlign w:val="center"/>
          </w:tcPr>
          <w:p w14:paraId="59E52AF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14:paraId="769410B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14:paraId="0F450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22" w:type="dxa"/>
            <w:vAlign w:val="center"/>
          </w:tcPr>
          <w:p w14:paraId="29D1775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8</w:t>
            </w:r>
          </w:p>
        </w:tc>
        <w:tc>
          <w:tcPr>
            <w:tcW w:w="6126" w:type="dxa"/>
            <w:vAlign w:val="center"/>
          </w:tcPr>
          <w:p w14:paraId="296D9675">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不得建在高层建筑内。4个班及以上的托儿所、幼儿园建筑应独立设置。3班及以下时，可与居住、养老、教育、办公建筑合建，托儿所生活用房应布置在首层，幼儿园生活用房应布置在三层及以下，应设有独立院落和出入口，室外游戏场地应有防护设施。</w:t>
            </w:r>
          </w:p>
        </w:tc>
        <w:tc>
          <w:tcPr>
            <w:tcW w:w="807" w:type="dxa"/>
            <w:vAlign w:val="center"/>
          </w:tcPr>
          <w:p w14:paraId="02B88C8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997" w:type="dxa"/>
            <w:vAlign w:val="center"/>
          </w:tcPr>
          <w:p w14:paraId="7D1E78F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14:paraId="110F1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22" w:type="dxa"/>
            <w:vAlign w:val="center"/>
          </w:tcPr>
          <w:p w14:paraId="3A1C0C0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9</w:t>
            </w:r>
          </w:p>
        </w:tc>
        <w:tc>
          <w:tcPr>
            <w:tcW w:w="6126" w:type="dxa"/>
            <w:vAlign w:val="center"/>
          </w:tcPr>
          <w:p w14:paraId="19448723">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宜设在集镇或毗邻乡村中小学，应避开养殖场、屠宰场、垃圾填埋场及水面等不良环境。</w:t>
            </w:r>
          </w:p>
        </w:tc>
        <w:tc>
          <w:tcPr>
            <w:tcW w:w="807" w:type="dxa"/>
            <w:vAlign w:val="center"/>
          </w:tcPr>
          <w:p w14:paraId="1F85526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997" w:type="dxa"/>
            <w:vAlign w:val="center"/>
          </w:tcPr>
          <w:p w14:paraId="4D5FEFA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14:paraId="39C0F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8852" w:type="dxa"/>
            <w:gridSpan w:val="4"/>
            <w:vAlign w:val="center"/>
          </w:tcPr>
          <w:p w14:paraId="0F5382D5">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备注：“●”代表需遵循该项选址要求。</w:t>
            </w:r>
          </w:p>
        </w:tc>
      </w:tr>
    </w:tbl>
    <w:p w14:paraId="1C2F05C2">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61" w:name="bookmark27"/>
      <w:bookmarkEnd w:id="61"/>
      <w:bookmarkStart w:id="62" w:name="_Toc11766"/>
      <w:bookmarkStart w:id="63" w:name="_Toc23125"/>
      <w:bookmarkStart w:id="64" w:name="_Toc6588"/>
      <w:r>
        <w:rPr>
          <w:rFonts w:hint="eastAsia" w:ascii="仿宋_GB2312" w:hAnsi="仿宋_GB2312" w:eastAsia="仿宋_GB2312" w:cs="仿宋_GB2312"/>
          <w:bCs/>
          <w:color w:val="auto"/>
          <w:szCs w:val="32"/>
        </w:rPr>
        <w:t>第1</w:t>
      </w:r>
      <w:r>
        <w:rPr>
          <w:rFonts w:hint="eastAsia" w:ascii="仿宋_GB2312" w:hAnsi="仿宋_GB2312" w:eastAsia="仿宋_GB2312" w:cs="仿宋_GB2312"/>
          <w:bCs/>
          <w:color w:val="auto"/>
          <w:szCs w:val="32"/>
          <w:lang w:val="en-US" w:eastAsia="zh-CN"/>
        </w:rPr>
        <w:t>2</w:t>
      </w:r>
      <w:r>
        <w:rPr>
          <w:rFonts w:hint="eastAsia" w:ascii="仿宋_GB2312" w:hAnsi="仿宋_GB2312" w:eastAsia="仿宋_GB2312" w:cs="仿宋_GB2312"/>
          <w:bCs/>
          <w:color w:val="auto"/>
          <w:szCs w:val="32"/>
        </w:rPr>
        <w:t>条 乡村</w:t>
      </w:r>
      <w:r>
        <w:rPr>
          <w:rFonts w:hint="eastAsia" w:ascii="仿宋_GB2312" w:hAnsi="仿宋_GB2312" w:eastAsia="仿宋_GB2312" w:cs="仿宋_GB2312"/>
          <w:bCs/>
          <w:color w:val="auto"/>
          <w:szCs w:val="32"/>
          <w:lang w:eastAsia="zh-CN"/>
        </w:rPr>
        <w:t>基础与</w:t>
      </w:r>
      <w:r>
        <w:rPr>
          <w:rFonts w:hint="eastAsia" w:ascii="仿宋_GB2312" w:hAnsi="仿宋_GB2312" w:eastAsia="仿宋_GB2312" w:cs="仿宋_GB2312"/>
          <w:bCs/>
          <w:color w:val="auto"/>
          <w:szCs w:val="32"/>
        </w:rPr>
        <w:t>公用设施</w:t>
      </w:r>
      <w:bookmarkEnd w:id="62"/>
      <w:bookmarkEnd w:id="63"/>
      <w:bookmarkEnd w:id="64"/>
    </w:p>
    <w:p w14:paraId="389729B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除通用要求外</w:t>
      </w:r>
      <w:r>
        <w:rPr>
          <w:rFonts w:hint="eastAsia" w:ascii="仿宋" w:hAnsi="仿宋" w:eastAsia="仿宋" w:cs="仿宋"/>
          <w:sz w:val="32"/>
          <w:szCs w:val="32"/>
          <w:lang w:eastAsia="zh-CN"/>
        </w:rPr>
        <w:t>，基</w:t>
      </w:r>
      <w:r>
        <w:rPr>
          <w:rFonts w:hint="default" w:ascii="仿宋" w:hAnsi="仿宋" w:eastAsia="仿宋" w:cs="仿宋"/>
          <w:sz w:val="32"/>
          <w:szCs w:val="32"/>
        </w:rPr>
        <w:t>础与公用设施选址还应当符合以下要求：</w:t>
      </w:r>
    </w:p>
    <w:p w14:paraId="1EE366B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default" w:ascii="仿宋" w:hAnsi="仿宋" w:eastAsia="仿宋" w:cs="仿宋"/>
          <w:sz w:val="32"/>
          <w:szCs w:val="32"/>
          <w:lang w:val="en-US" w:eastAsia="zh-CN"/>
        </w:rPr>
        <w:t>道路用地选址需符合上位规划、控制性详细规划及相关专项规划的要求，优先选择交通和基础设施条件较好的区域；严格控制破坏生态环境的选址，避免占用水体、山体等生态敏感区域；选址应避开工程地质和水文地质不良的地段，如断层带、软土、湿地等，以减少施工风险；选址应便于城市电力线路、给排水管道、燃气管道等基础设施的引入和连接；对于涉及文化遗产保护的道路项目，应遵循相关保护规定，避免破坏古遗址、古墓葬等不可移动文物；鼓励利用现有道路资源进行升级或重建，以提高土地使用效率和环境保护水平。</w:t>
      </w:r>
    </w:p>
    <w:p w14:paraId="5E24BA8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default" w:ascii="仿宋" w:hAnsi="仿宋" w:eastAsia="仿宋" w:cs="仿宋"/>
          <w:sz w:val="32"/>
          <w:szCs w:val="32"/>
          <w:lang w:val="en-US" w:eastAsia="zh-CN"/>
        </w:rPr>
        <w:t>村内集中污水处理设施的选址应集约用地，尽量避免拆迁，减少占地，并尽可能利用荒地和公共用地进行建设。选址不得占用永久基本农田、生态保护红线和饮用水水源保护区，并应满足水源保护区划定的要求。选址应位于居住区的夏季主导风向的下风向、村庄水系下游，并靠近受纳水体或农田灌溉区。选址宜选择在交通、运输及供水供电较为方便的地段，不宜靠近民房、学校、医院等敏感建筑，也不宜设置在低洼易涝区。</w:t>
      </w:r>
    </w:p>
    <w:p w14:paraId="081C291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w:t>
      </w:r>
      <w:r>
        <w:rPr>
          <w:rFonts w:hint="default" w:ascii="仿宋" w:hAnsi="仿宋" w:eastAsia="仿宋" w:cs="仿宋"/>
          <w:sz w:val="32"/>
          <w:szCs w:val="32"/>
          <w:lang w:val="en-US" w:eastAsia="zh-CN"/>
        </w:rPr>
        <w:t>村庄应充分利用天然水体作为消防水源，并因地制宜地建设消防取水设施。若利用天然水体困难，应结合村庄配水管网安排消防用水或设置消防水池。村庄应按规范设置消防通道，主要建筑物和公共场所应设置消防设施。</w:t>
      </w:r>
    </w:p>
    <w:p w14:paraId="0F5CBDF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default" w:ascii="仿宋" w:hAnsi="仿宋" w:eastAsia="仿宋" w:cs="仿宋"/>
          <w:sz w:val="32"/>
          <w:szCs w:val="32"/>
          <w:lang w:val="en-US" w:eastAsia="zh-CN"/>
        </w:rPr>
        <w:t>充电站宜接近供电电源端，并便于供电电源线路的进出，宜采用两回线路供电。公共充电站应选择在进出车便利的场所，宜选择在城乡次干道路旁，且充电站进出口宜与城乡次干道路相连。充电桩不宜设置在有爆炸危险环境场所的正上方或正下方，不应设在有剧烈振动或高温的场所，不宜设在多尘、水雾或有腐蚀性气体的场所，不应设在室外地势低洼、易积水的场所和易发生次生灾害的地点。充电桩宜设在停车场内。</w:t>
      </w:r>
    </w:p>
    <w:p w14:paraId="7062A81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w:t>
      </w:r>
      <w:r>
        <w:rPr>
          <w:rFonts w:hint="default" w:ascii="仿宋" w:hAnsi="仿宋" w:eastAsia="仿宋" w:cs="仿宋"/>
          <w:sz w:val="32"/>
          <w:szCs w:val="32"/>
          <w:lang w:val="en-US" w:eastAsia="zh-CN"/>
        </w:rPr>
        <w:t>给水设施水源点选址应符合国家及地方水源保护条例的要求，不应破坏场地与周边原有水系的关系。在水源保护区范围内，不得修建厕所、化粪池和渗水坑。若有此类设施，应距水源取水口500米以上，且现有公共设施应进行污水防渗处理。</w:t>
      </w:r>
    </w:p>
    <w:p w14:paraId="5DDADCF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（六）</w:t>
      </w:r>
      <w:r>
        <w:rPr>
          <w:rFonts w:hint="default" w:ascii="仿宋" w:hAnsi="仿宋" w:eastAsia="仿宋" w:cs="仿宋"/>
          <w:sz w:val="32"/>
          <w:szCs w:val="32"/>
          <w:lang w:val="en-US" w:eastAsia="zh-CN"/>
        </w:rPr>
        <w:t>垃圾收集点位置应固定，方便村民投放，并便于垃圾清运。</w:t>
      </w:r>
    </w:p>
    <w:p w14:paraId="7C3CB4E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（七）</w:t>
      </w:r>
      <w:r>
        <w:rPr>
          <w:rFonts w:hint="default" w:ascii="仿宋" w:hAnsi="仿宋" w:eastAsia="仿宋" w:cs="仿宋"/>
          <w:sz w:val="32"/>
          <w:szCs w:val="32"/>
          <w:lang w:val="en-US" w:eastAsia="zh-CN"/>
        </w:rPr>
        <w:t>乡村其他公用设施的选址应符合国家和地方有关标准的规定。</w:t>
      </w:r>
    </w:p>
    <w:p w14:paraId="15660135">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65" w:name="_Toc10340"/>
      <w:r>
        <w:rPr>
          <w:rFonts w:hint="eastAsia" w:ascii="仿宋_GB2312" w:hAnsi="仿宋_GB2312" w:eastAsia="仿宋_GB2312" w:cs="仿宋_GB2312"/>
          <w:bCs/>
          <w:color w:val="auto"/>
          <w:szCs w:val="32"/>
        </w:rPr>
        <w:t>第1</w:t>
      </w:r>
      <w:r>
        <w:rPr>
          <w:rFonts w:hint="eastAsia" w:ascii="仿宋_GB2312" w:hAnsi="仿宋_GB2312" w:eastAsia="仿宋_GB2312" w:cs="仿宋_GB2312"/>
          <w:bCs/>
          <w:color w:val="auto"/>
          <w:szCs w:val="32"/>
          <w:lang w:val="en-US" w:eastAsia="zh-CN"/>
        </w:rPr>
        <w:t>3</w:t>
      </w:r>
      <w:r>
        <w:rPr>
          <w:rFonts w:hint="eastAsia" w:ascii="仿宋_GB2312" w:hAnsi="仿宋_GB2312" w:eastAsia="仿宋_GB2312" w:cs="仿宋_GB2312"/>
          <w:bCs/>
          <w:color w:val="auto"/>
          <w:szCs w:val="32"/>
        </w:rPr>
        <w:t>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乡村产业</w:t>
      </w:r>
      <w:bookmarkEnd w:id="60"/>
      <w:bookmarkEnd w:id="65"/>
    </w:p>
    <w:p w14:paraId="5651F22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（一）</w:t>
      </w:r>
      <w:r>
        <w:rPr>
          <w:rFonts w:hint="default" w:ascii="仿宋" w:hAnsi="仿宋" w:eastAsia="仿宋" w:cs="仿宋"/>
          <w:sz w:val="32"/>
          <w:szCs w:val="32"/>
        </w:rPr>
        <w:t>乡村产业严禁生产或制造危险化学品及其相关产物。乡村产业必须符合《产业结构调整指导目录（2024年本）》《自然资源要素支撑产业高质量发展指导目录（2024年本）》的要求。</w:t>
      </w:r>
    </w:p>
    <w:p w14:paraId="3AFBC14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（二）</w:t>
      </w:r>
      <w:r>
        <w:rPr>
          <w:rFonts w:hint="default" w:ascii="仿宋" w:hAnsi="仿宋" w:eastAsia="仿宋" w:cs="仿宋"/>
          <w:sz w:val="32"/>
          <w:szCs w:val="32"/>
        </w:rPr>
        <w:t>规模较大、工业化程度高、分散布局配套设施成本高的产业项目宜在产业园区内布局；具有一定规模的农产品加工宜在</w:t>
      </w:r>
      <w:r>
        <w:rPr>
          <w:rFonts w:hint="default" w:ascii="仿宋" w:hAnsi="仿宋" w:eastAsia="仿宋" w:cs="仿宋"/>
          <w:sz w:val="32"/>
          <w:szCs w:val="32"/>
          <w:lang w:eastAsia="zh-CN"/>
        </w:rPr>
        <w:t>中心城区</w:t>
      </w:r>
      <w:r>
        <w:rPr>
          <w:rFonts w:hint="default" w:ascii="仿宋" w:hAnsi="仿宋" w:eastAsia="仿宋" w:cs="仿宋"/>
          <w:sz w:val="32"/>
          <w:szCs w:val="32"/>
        </w:rPr>
        <w:t>或有条件的乡镇城镇开发边界内集中布局。</w:t>
      </w:r>
    </w:p>
    <w:p w14:paraId="097C883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（三）</w:t>
      </w:r>
      <w:r>
        <w:rPr>
          <w:rFonts w:hint="default" w:ascii="仿宋" w:hAnsi="仿宋" w:eastAsia="仿宋" w:cs="仿宋"/>
          <w:sz w:val="32"/>
          <w:szCs w:val="32"/>
        </w:rPr>
        <w:t>直接服务种植养殖业的农产品加工、电子商务、仓储保鲜冷链、产地低温直销配送等产业原则上应集中在行政村村庄建设边界内。利用农村本地资源开展</w:t>
      </w:r>
      <w:r>
        <w:rPr>
          <w:rFonts w:hint="default" w:ascii="仿宋" w:hAnsi="仿宋" w:eastAsia="仿宋" w:cs="仿宋"/>
          <w:sz w:val="32"/>
          <w:szCs w:val="32"/>
          <w:lang w:eastAsia="zh-CN"/>
        </w:rPr>
        <w:t>的</w:t>
      </w:r>
      <w:r>
        <w:rPr>
          <w:rFonts w:hint="default" w:ascii="仿宋" w:hAnsi="仿宋" w:eastAsia="仿宋" w:cs="仿宋"/>
          <w:sz w:val="32"/>
          <w:szCs w:val="32"/>
        </w:rPr>
        <w:t>农产品初加工、休闲观光旅游必需的配套设施，可在不占用永久基本农田和生态保护红线、不突破国土空间规划建设用地指标等约束条件、不破坏生态环境和乡村风貌的前提下，在村庄建设边界外安排少量建设用地。</w:t>
      </w:r>
    </w:p>
    <w:p w14:paraId="5DD9B83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（四）</w:t>
      </w:r>
      <w:r>
        <w:rPr>
          <w:rFonts w:hint="default" w:ascii="仿宋" w:hAnsi="仿宋" w:eastAsia="仿宋" w:cs="仿宋"/>
          <w:sz w:val="32"/>
          <w:szCs w:val="32"/>
        </w:rPr>
        <w:t>乡村汽车加油加气站宜靠近公路布局，不宜选在公路交叉路口附近。汽车加油加气站的选址应符合有关规划、环境保护和防火安全的要求，并应选在交通便利、用户使用方便的地点。</w:t>
      </w:r>
    </w:p>
    <w:p w14:paraId="7453614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（五）</w:t>
      </w:r>
      <w:r>
        <w:rPr>
          <w:rFonts w:hint="default" w:ascii="仿宋" w:hAnsi="仿宋" w:eastAsia="仿宋" w:cs="仿宋"/>
          <w:sz w:val="32"/>
          <w:szCs w:val="32"/>
        </w:rPr>
        <w:t>乡村产业项目可适当考虑用地兼容性。在符合国土空间规划确定的用地类型、控制性高度、乡村风貌、基础设施和用途管制要求、确保安全的前提下，鼓励对依法登记的宅基地等农村建设用地进行复合利用，发展乡村民宿、农产品初加工、电子商务、民俗体验、文化创意等乡村产业。鼓励乡村产业用地与其他用地功能合理布局，实现用地兼容。</w:t>
      </w:r>
    </w:p>
    <w:p w14:paraId="3F3D7C0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（六）</w:t>
      </w:r>
      <w:r>
        <w:rPr>
          <w:rFonts w:hint="default" w:ascii="仿宋" w:hAnsi="仿宋" w:eastAsia="仿宋" w:cs="仿宋"/>
          <w:sz w:val="32"/>
          <w:szCs w:val="32"/>
        </w:rPr>
        <w:t>乡村产业项目原则上应为直接服务于乡村振兴和农村生产生活的项目，并符合村庄所在的</w:t>
      </w:r>
      <w:bookmarkStart w:id="66" w:name="OLE_LINK4"/>
      <w:r>
        <w:rPr>
          <w:rFonts w:hint="default" w:ascii="仿宋" w:hAnsi="仿宋" w:eastAsia="仿宋" w:cs="仿宋"/>
          <w:sz w:val="32"/>
          <w:szCs w:val="32"/>
          <w:lang w:eastAsia="zh-CN"/>
        </w:rPr>
        <w:t>乡</w:t>
      </w:r>
      <w:r>
        <w:rPr>
          <w:rFonts w:hint="default" w:ascii="仿宋" w:hAnsi="仿宋" w:eastAsia="仿宋" w:cs="仿宋"/>
          <w:sz w:val="32"/>
          <w:szCs w:val="32"/>
        </w:rPr>
        <w:t>镇</w:t>
      </w:r>
      <w:bookmarkEnd w:id="66"/>
      <w:r>
        <w:rPr>
          <w:rFonts w:hint="default" w:ascii="仿宋" w:hAnsi="仿宋" w:eastAsia="仿宋" w:cs="仿宋"/>
          <w:sz w:val="32"/>
          <w:szCs w:val="32"/>
        </w:rPr>
        <w:t>主体功能定位和相关产业规划，不得</w:t>
      </w:r>
      <w:r>
        <w:rPr>
          <w:rFonts w:hint="eastAsia" w:ascii="仿宋" w:hAnsi="仿宋" w:cs="仿宋"/>
          <w:sz w:val="32"/>
          <w:szCs w:val="32"/>
          <w:lang w:val="en-US" w:eastAsia="zh-CN"/>
        </w:rPr>
        <w:t>出现</w:t>
      </w:r>
      <w:r>
        <w:rPr>
          <w:rFonts w:hint="default" w:ascii="仿宋" w:hAnsi="仿宋" w:eastAsia="仿宋" w:cs="仿宋"/>
          <w:sz w:val="32"/>
          <w:szCs w:val="32"/>
        </w:rPr>
        <w:t>违背产业准入负面清单</w:t>
      </w:r>
      <w:r>
        <w:rPr>
          <w:rFonts w:hint="eastAsia" w:ascii="仿宋" w:hAnsi="仿宋" w:cs="仿宋"/>
          <w:sz w:val="32"/>
          <w:szCs w:val="32"/>
          <w:lang w:val="en-US" w:eastAsia="zh-CN"/>
        </w:rPr>
        <w:t>情况</w:t>
      </w:r>
      <w:r>
        <w:rPr>
          <w:rFonts w:hint="default" w:ascii="仿宋" w:hAnsi="仿宋" w:eastAsia="仿宋" w:cs="仿宋"/>
          <w:sz w:val="32"/>
          <w:szCs w:val="32"/>
        </w:rPr>
        <w:t>，不得用于商品住宅、别墅、酒店、公寓等房地产开发。</w:t>
      </w:r>
    </w:p>
    <w:p w14:paraId="770903C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（七）</w:t>
      </w:r>
      <w:r>
        <w:rPr>
          <w:rFonts w:hint="default" w:ascii="仿宋" w:hAnsi="仿宋" w:eastAsia="仿宋" w:cs="仿宋"/>
          <w:sz w:val="32"/>
          <w:szCs w:val="32"/>
          <w:lang w:val="en-US" w:eastAsia="zh-CN"/>
        </w:rPr>
        <w:t>设施农业用地。设施农业用地选址须符合国土空间规划总体安排，优先使用荒山荒坡、滩涂、坑塘水面及农村闲</w:t>
      </w:r>
      <w:r>
        <w:rPr>
          <w:rFonts w:hint="default" w:ascii="仿宋" w:hAnsi="仿宋" w:eastAsia="仿宋" w:cs="仿宋"/>
          <w:sz w:val="32"/>
          <w:szCs w:val="32"/>
        </w:rPr>
        <w:t>置建设用地等非耕地或低效土地，</w:t>
      </w:r>
      <w:r>
        <w:rPr>
          <w:rFonts w:hint="default" w:ascii="仿宋" w:hAnsi="仿宋" w:eastAsia="仿宋" w:cs="仿宋"/>
          <w:sz w:val="32"/>
          <w:szCs w:val="32"/>
          <w:lang w:val="en-US" w:eastAsia="zh-CN"/>
        </w:rPr>
        <w:t>禁止</w:t>
      </w:r>
      <w:r>
        <w:rPr>
          <w:rFonts w:hint="default" w:ascii="仿宋" w:hAnsi="仿宋" w:eastAsia="仿宋" w:cs="仿宋"/>
          <w:sz w:val="32"/>
          <w:szCs w:val="32"/>
        </w:rPr>
        <w:t>占用永久基本农田，避让生态保护红线等敏感区域</w:t>
      </w:r>
      <w:r>
        <w:rPr>
          <w:rFonts w:hint="default" w:ascii="仿宋" w:hAnsi="仿宋" w:eastAsia="仿宋" w:cs="仿宋"/>
          <w:sz w:val="32"/>
          <w:szCs w:val="32"/>
          <w:lang w:eastAsia="zh-CN"/>
        </w:rPr>
        <w:t>，</w:t>
      </w:r>
      <w:r>
        <w:rPr>
          <w:rFonts w:hint="default" w:ascii="仿宋" w:hAnsi="仿宋" w:eastAsia="仿宋" w:cs="仿宋"/>
          <w:sz w:val="32"/>
          <w:szCs w:val="32"/>
          <w:lang w:val="en-US" w:eastAsia="zh-CN"/>
        </w:rPr>
        <w:t>严格控制使用</w:t>
      </w:r>
      <w:r>
        <w:rPr>
          <w:rFonts w:hint="default" w:ascii="仿宋" w:hAnsi="仿宋" w:eastAsia="仿宋" w:cs="仿宋"/>
          <w:sz w:val="32"/>
          <w:szCs w:val="32"/>
        </w:rPr>
        <w:t>一般耕地</w:t>
      </w:r>
      <w:r>
        <w:rPr>
          <w:rFonts w:hint="default" w:ascii="仿宋" w:hAnsi="仿宋" w:eastAsia="仿宋" w:cs="仿宋"/>
          <w:sz w:val="32"/>
          <w:szCs w:val="32"/>
          <w:lang w:eastAsia="zh-CN"/>
        </w:rPr>
        <w:t>，</w:t>
      </w:r>
      <w:r>
        <w:rPr>
          <w:rFonts w:hint="default" w:ascii="仿宋" w:hAnsi="仿宋" w:eastAsia="仿宋" w:cs="仿宋"/>
          <w:sz w:val="32"/>
          <w:szCs w:val="32"/>
        </w:rPr>
        <w:t>确需使用一般耕地的，应在年度内落实耕地“进出平衡”。</w:t>
      </w:r>
    </w:p>
    <w:p w14:paraId="62649CC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（八）</w:t>
      </w:r>
      <w:r>
        <w:rPr>
          <w:rFonts w:hint="default" w:ascii="仿宋" w:hAnsi="仿宋" w:eastAsia="仿宋" w:cs="仿宋"/>
          <w:sz w:val="32"/>
          <w:szCs w:val="32"/>
          <w:lang w:val="en-US" w:eastAsia="zh-CN"/>
        </w:rPr>
        <w:t>矿业用地。采矿项目选址须符合国土空间规划总体安排，优先利用存量采矿用地或复垦修复腾退区域；城镇开发边界内原则上不新增采矿用地，确需零星布局的应纳入规划扩展倍数统筹核算。禁止占用自然保护地核心保护区；生态保护红线内自然保护地核心保护区外的区域，仅允许开展法律规定的、对生态功能不造成破坏的有限勘查开采活动。非战略性矿产新设矿业权原则上应避让永久基本农田（地热、矿泉水勘查开采确需占用且能确保不造成损毁的除外）；战略性矿产选址占用永久基本农田按国家重大建设项目相关规定管理，露天开采占用须报国务院审批，井下开采配套地面设施需符合国家规定用地标准。已设矿业权与永久基本农田空间重叠的，允许在原许可范围内办理延续、变更登记；申请扩大勘查开采范围或将开采矿种由战略性矿产变更为非战略性矿产的，重叠部分按新设矿业权要求执行。</w:t>
      </w:r>
    </w:p>
    <w:p w14:paraId="7C4F082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（九）</w:t>
      </w:r>
      <w:r>
        <w:rPr>
          <w:rFonts w:hint="default" w:ascii="仿宋" w:hAnsi="仿宋" w:eastAsia="仿宋" w:cs="仿宋"/>
          <w:sz w:val="32"/>
          <w:szCs w:val="32"/>
          <w:lang w:val="en-US" w:eastAsia="zh-CN"/>
        </w:rPr>
        <w:t>产业准入正面清单</w:t>
      </w:r>
    </w:p>
    <w:p w14:paraId="6D11E48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农副产品加工与制造</w:t>
      </w:r>
    </w:p>
    <w:p w14:paraId="45C47EC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允许布局农副食品加工业、木材加工及木制品业、手工艺美术品制造等乡村工业，优先利用存量建设用地或复垦修复腾退区域，鼓励集体建设用地入股（联营）开发。</w:t>
      </w:r>
    </w:p>
    <w:p w14:paraId="6772AE8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涉农物流仓储与商业服务</w:t>
      </w:r>
    </w:p>
    <w:p w14:paraId="61BDC39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支持建设储存农（林牧渔）产品及其加工产品的物流仓储用地；允许设置农（林牧渔）产品直销点、电商服务站等商业用地，鼓励在村庄规划兼容性条款内复合利用（兼容比例≤30%）。</w:t>
      </w:r>
    </w:p>
    <w:p w14:paraId="3D8CD62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乡村旅游配套设施</w:t>
      </w:r>
    </w:p>
    <w:p w14:paraId="4D42AC2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可为农村休闲观光旅游（含共享农庄）配套餐饮、民宿、旅游咨询中心、非遗展示馆、停车场等设施用地，地下空间允许开发停车及仓储功能。</w:t>
      </w:r>
    </w:p>
    <w:p w14:paraId="75F2590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农业设施与混合用地</w:t>
      </w:r>
    </w:p>
    <w:p w14:paraId="6F95DE1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允许使用农业设施建设用地（如温室大棚、养殖场）；支持</w:t>
      </w:r>
      <w:r>
        <w:rPr>
          <w:rFonts w:hint="eastAsia" w:ascii="仿宋" w:hAnsi="仿宋" w:eastAsia="仿宋" w:cs="仿宋"/>
          <w:sz w:val="32"/>
          <w:szCs w:val="32"/>
          <w:lang w:val="en-US" w:eastAsia="zh-CN"/>
        </w:rPr>
        <w:t>一二三产业融合</w:t>
      </w:r>
      <w:r>
        <w:rPr>
          <w:rFonts w:hint="default" w:ascii="仿宋" w:hAnsi="仿宋" w:eastAsia="仿宋" w:cs="仿宋"/>
          <w:sz w:val="32"/>
          <w:szCs w:val="32"/>
          <w:lang w:val="en-US" w:eastAsia="zh-CN"/>
        </w:rPr>
        <w:t>的混合用地，如“加工+观光”“仓储+销售”等复合业态。</w:t>
      </w:r>
    </w:p>
    <w:p w14:paraId="73DDFB5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存量用地创新利用</w:t>
      </w:r>
    </w:p>
    <w:p w14:paraId="495D28B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城镇开发边界内原则上不新增乡村产业用地，确需零星布局的纳入城镇开发边界扩展倍数核算；利用存量房地资源的项目，5年内可暂按原用途管理。</w:t>
      </w:r>
    </w:p>
    <w:p w14:paraId="0AB5E36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w:t>
      </w:r>
      <w:r>
        <w:rPr>
          <w:rFonts w:hint="default" w:ascii="仿宋" w:hAnsi="仿宋" w:eastAsia="仿宋" w:cs="仿宋"/>
          <w:sz w:val="32"/>
          <w:szCs w:val="32"/>
          <w:lang w:val="en-US" w:eastAsia="zh-CN"/>
        </w:rPr>
        <w:t>产业准入负面清单</w:t>
      </w:r>
    </w:p>
    <w:p w14:paraId="1EF0291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严禁</w:t>
      </w:r>
      <w:r>
        <w:rPr>
          <w:rFonts w:hint="eastAsia" w:ascii="仿宋" w:hAnsi="仿宋" w:eastAsia="仿宋" w:cs="仿宋"/>
          <w:sz w:val="32"/>
          <w:szCs w:val="32"/>
          <w:lang w:val="en-US" w:eastAsia="zh-CN"/>
        </w:rPr>
        <w:t>房地产</w:t>
      </w:r>
      <w:r>
        <w:rPr>
          <w:rFonts w:hint="default" w:ascii="仿宋" w:hAnsi="仿宋" w:eastAsia="仿宋" w:cs="仿宋"/>
          <w:sz w:val="32"/>
          <w:szCs w:val="32"/>
          <w:lang w:val="en-US" w:eastAsia="zh-CN"/>
        </w:rPr>
        <w:t>开发</w:t>
      </w:r>
    </w:p>
    <w:p w14:paraId="7C9E621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禁止用于商品住宅、别墅、公寓、酒店（民宿除外）等房地产开发，不得擅自分割转让或转租。</w:t>
      </w:r>
    </w:p>
    <w:p w14:paraId="56EA954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严守耕地与生态红线</w:t>
      </w:r>
    </w:p>
    <w:p w14:paraId="03CD0FB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永久基本农田严禁建房、建窑、挖塘造景、种植非粮作物；一般耕地不得超标准建设绿化带、未经批准实施国土绿化；生态保护禁止挖山填湖、毁林毁草、破坏水系及自然地貌。</w:t>
      </w:r>
    </w:p>
    <w:p w14:paraId="1F25E90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设施农业用地管控</w:t>
      </w:r>
    </w:p>
    <w:p w14:paraId="2C4FEEF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严禁擅自将农业设施用地改为餐饮、娱乐等非农用途，大棚房问题“零容忍”。</w:t>
      </w:r>
    </w:p>
    <w:p w14:paraId="7D0DAC9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污染与落后产业禁入</w:t>
      </w:r>
    </w:p>
    <w:p w14:paraId="63AEAA6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val="en-US" w:eastAsia="zh-CN"/>
        </w:rPr>
        <w:t>国家淘汰类产能、高污染项目（如小冶炼、化工）不得进入乡村。</w:t>
      </w:r>
    </w:p>
    <w:p w14:paraId="37D77059">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67" w:name="_Toc3378"/>
      <w:r>
        <w:rPr>
          <w:rFonts w:hint="eastAsia" w:ascii="仿宋_GB2312" w:hAnsi="仿宋_GB2312" w:eastAsia="仿宋_GB2312" w:cs="仿宋_GB2312"/>
          <w:bCs/>
          <w:color w:val="auto"/>
          <w:szCs w:val="32"/>
          <w:lang w:eastAsia="zh-CN"/>
        </w:rPr>
        <w:t>第</w:t>
      </w:r>
      <w:r>
        <w:rPr>
          <w:rFonts w:hint="eastAsia" w:ascii="仿宋_GB2312" w:hAnsi="仿宋_GB2312" w:eastAsia="仿宋_GB2312" w:cs="仿宋_GB2312"/>
          <w:bCs/>
          <w:color w:val="auto"/>
          <w:szCs w:val="32"/>
          <w:lang w:val="en-US" w:eastAsia="zh-CN"/>
        </w:rPr>
        <w:t xml:space="preserve">14条 </w:t>
      </w:r>
      <w:r>
        <w:rPr>
          <w:rFonts w:hint="eastAsia" w:ascii="仿宋_GB2312" w:hAnsi="仿宋_GB2312" w:eastAsia="仿宋_GB2312" w:cs="仿宋_GB2312"/>
          <w:bCs/>
          <w:color w:val="auto"/>
          <w:szCs w:val="32"/>
        </w:rPr>
        <w:t>特殊项目</w:t>
      </w:r>
      <w:bookmarkEnd w:id="67"/>
    </w:p>
    <w:p w14:paraId="58B201E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val="en-US" w:eastAsia="zh-CN"/>
        </w:rPr>
        <w:t>乡村地区有特殊选址需求的项目，如殡葬设施、特殊教育学校、监狱等，其用地应符合上位国土空间总体规划或相关专项规划的要求，建设要求应按照相关规划执行。</w:t>
      </w:r>
    </w:p>
    <w:p w14:paraId="1AC6373B">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default" w:ascii="楷体" w:hAnsi="楷体" w:eastAsia="楷体" w:cs="楷体"/>
        </w:rPr>
      </w:pPr>
      <w:bookmarkStart w:id="68" w:name="_Toc31196"/>
      <w:bookmarkStart w:id="69" w:name="_Toc30245"/>
      <w:bookmarkStart w:id="70" w:name="_Toc5571"/>
      <w:bookmarkStart w:id="71" w:name="_Toc25145"/>
      <w:r>
        <w:rPr>
          <w:rFonts w:hint="default" w:ascii="楷体" w:hAnsi="楷体" w:eastAsia="楷体" w:cs="楷体"/>
        </w:rPr>
        <w:t>第三节</w:t>
      </w:r>
      <w:r>
        <w:rPr>
          <w:rFonts w:hint="default" w:ascii="楷体" w:hAnsi="楷体" w:eastAsia="楷体" w:cs="楷体"/>
          <w:lang w:val="en-US" w:eastAsia="zh-CN"/>
        </w:rPr>
        <w:t xml:space="preserve"> </w:t>
      </w:r>
      <w:r>
        <w:rPr>
          <w:rFonts w:hint="default" w:ascii="楷体" w:hAnsi="楷体" w:eastAsia="楷体" w:cs="楷体"/>
        </w:rPr>
        <w:t>建设控制</w:t>
      </w:r>
      <w:bookmarkEnd w:id="68"/>
      <w:bookmarkEnd w:id="69"/>
      <w:bookmarkEnd w:id="70"/>
      <w:bookmarkEnd w:id="71"/>
    </w:p>
    <w:p w14:paraId="18E6C15E">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72" w:name="_Toc23305"/>
      <w:bookmarkStart w:id="73" w:name="_Toc22569"/>
      <w:r>
        <w:rPr>
          <w:rFonts w:hint="eastAsia" w:ascii="仿宋_GB2312" w:hAnsi="仿宋_GB2312" w:eastAsia="仿宋_GB2312" w:cs="仿宋_GB2312"/>
          <w:bCs/>
          <w:color w:val="auto"/>
          <w:szCs w:val="32"/>
        </w:rPr>
        <w:t>第1</w:t>
      </w:r>
      <w:r>
        <w:rPr>
          <w:rFonts w:hint="eastAsia" w:ascii="仿宋_GB2312" w:hAnsi="仿宋_GB2312" w:eastAsia="仿宋_GB2312" w:cs="仿宋_GB2312"/>
          <w:bCs/>
          <w:color w:val="auto"/>
          <w:szCs w:val="32"/>
          <w:lang w:val="en-US" w:eastAsia="zh-CN"/>
        </w:rPr>
        <w:t>5</w:t>
      </w:r>
      <w:r>
        <w:rPr>
          <w:rFonts w:hint="eastAsia" w:ascii="仿宋_GB2312" w:hAnsi="仿宋_GB2312" w:eastAsia="仿宋_GB2312" w:cs="仿宋_GB2312"/>
          <w:bCs/>
          <w:color w:val="auto"/>
          <w:szCs w:val="32"/>
        </w:rPr>
        <w:t>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村庄建设用地建设标准</w:t>
      </w:r>
      <w:bookmarkEnd w:id="72"/>
      <w:bookmarkEnd w:id="73"/>
    </w:p>
    <w:p w14:paraId="79F69E17">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bookmarkStart w:id="74" w:name="_Toc19295"/>
      <w:r>
        <w:rPr>
          <w:rFonts w:hint="eastAsia" w:ascii="Times New Roman" w:hAnsi="Times New Roman" w:cs="Times New Roman"/>
          <w:sz w:val="32"/>
          <w:szCs w:val="32"/>
          <w:highlight w:val="none"/>
          <w:lang w:val="en-US" w:eastAsia="zh-CN"/>
        </w:rPr>
        <w:t>（一）</w:t>
      </w:r>
      <w:r>
        <w:rPr>
          <w:rFonts w:hint="default" w:ascii="Times New Roman" w:hAnsi="Times New Roman" w:cs="Times New Roman"/>
          <w:sz w:val="32"/>
          <w:szCs w:val="32"/>
          <w:highlight w:val="none"/>
          <w:lang w:val="en-US" w:eastAsia="zh-CN"/>
        </w:rPr>
        <w:t>村民住宅</w:t>
      </w:r>
      <w:bookmarkEnd w:id="74"/>
    </w:p>
    <w:p w14:paraId="20C3A5D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严格落实“一户一宅”规定。</w:t>
      </w:r>
      <w:bookmarkStart w:id="75" w:name="OLE_LINK12"/>
      <w:r>
        <w:rPr>
          <w:rFonts w:hint="default" w:ascii="仿宋" w:hAnsi="仿宋" w:eastAsia="仿宋" w:cs="仿宋"/>
          <w:sz w:val="32"/>
          <w:szCs w:val="32"/>
          <w:lang w:val="en-US" w:eastAsia="zh-CN"/>
        </w:rPr>
        <w:t>村民宅基地面积每户用地面积不得超过150平方米。</w:t>
      </w:r>
      <w:bookmarkStart w:id="76" w:name="OLE_LINK11"/>
      <w:r>
        <w:rPr>
          <w:rFonts w:hint="default" w:ascii="仿宋" w:hAnsi="仿宋" w:eastAsia="仿宋" w:cs="仿宋"/>
          <w:sz w:val="32"/>
          <w:szCs w:val="32"/>
          <w:lang w:val="en-US" w:eastAsia="zh-CN"/>
        </w:rPr>
        <w:t>新增农房在符合规定宅基地用地面积前提下，每户建筑面积不得超过450平方米，建筑层数不得超过四层。</w:t>
      </w:r>
      <w:bookmarkEnd w:id="75"/>
      <w:bookmarkEnd w:id="76"/>
      <w:bookmarkStart w:id="77" w:name="bookmark4"/>
      <w:bookmarkEnd w:id="77"/>
      <w:bookmarkStart w:id="78" w:name="bookmark3"/>
      <w:bookmarkEnd w:id="78"/>
      <w:r>
        <w:rPr>
          <w:rFonts w:hint="default" w:ascii="仿宋" w:hAnsi="仿宋" w:eastAsia="仿宋" w:cs="仿宋"/>
          <w:sz w:val="32"/>
          <w:szCs w:val="32"/>
          <w:lang w:val="en-US" w:eastAsia="zh-CN"/>
        </w:rPr>
        <w:t>原址翻建或改扩建住宅的，宅基地用地面积和建筑面积不得超过自治区、桂林市和荔浦市规定的建设标准。</w:t>
      </w:r>
    </w:p>
    <w:p w14:paraId="774AC0B2">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bookmarkStart w:id="79" w:name="_Toc10205"/>
      <w:bookmarkStart w:id="80" w:name="_Toc13955"/>
      <w:r>
        <w:rPr>
          <w:rFonts w:hint="eastAsia" w:ascii="Times New Roman" w:hAnsi="Times New Roman" w:cs="Times New Roman"/>
          <w:sz w:val="32"/>
          <w:szCs w:val="32"/>
          <w:highlight w:val="none"/>
          <w:lang w:val="en-US" w:eastAsia="zh-CN"/>
        </w:rPr>
        <w:t>（二）</w:t>
      </w:r>
      <w:r>
        <w:rPr>
          <w:rFonts w:hint="default" w:ascii="Times New Roman" w:hAnsi="Times New Roman" w:cs="Times New Roman"/>
          <w:sz w:val="32"/>
          <w:szCs w:val="32"/>
          <w:highlight w:val="none"/>
          <w:lang w:val="en-US" w:eastAsia="zh-CN"/>
        </w:rPr>
        <w:t>乡村公共服务设施</w:t>
      </w:r>
      <w:bookmarkEnd w:id="79"/>
      <w:bookmarkEnd w:id="80"/>
    </w:p>
    <w:p w14:paraId="57B61DF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村级公共服务中心原则上不超过3层，具体按照审查通过的建设工程设计方案确定的层数和建筑高度执行。</w:t>
      </w:r>
    </w:p>
    <w:p w14:paraId="63A6D89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农村小学的主要教学用房不应设在4层以上</w:t>
      </w:r>
      <w:r>
        <w:rPr>
          <w:rFonts w:hint="eastAsia" w:ascii="仿宋" w:hAnsi="仿宋" w:cs="仿宋"/>
          <w:sz w:val="32"/>
          <w:szCs w:val="32"/>
          <w:lang w:val="en-US" w:eastAsia="zh-CN"/>
        </w:rPr>
        <w:t>，小学的建设应符合《中小学校设计规范》（GB 50099-2011）</w:t>
      </w:r>
      <w:r>
        <w:rPr>
          <w:rFonts w:hint="default" w:ascii="仿宋" w:hAnsi="仿宋" w:eastAsia="仿宋" w:cs="仿宋"/>
          <w:sz w:val="32"/>
          <w:szCs w:val="32"/>
          <w:lang w:val="en-US" w:eastAsia="zh-CN"/>
        </w:rPr>
        <w:t>；农村幼儿园生活用房应布置在3层及以下，幼儿园的建设应符合《托儿所、幼儿园建筑设计规范》</w:t>
      </w:r>
      <w:r>
        <w:rPr>
          <w:rFonts w:hint="eastAsia" w:ascii="仿宋" w:hAnsi="仿宋" w:cs="仿宋"/>
          <w:sz w:val="32"/>
          <w:szCs w:val="32"/>
          <w:lang w:val="en-US" w:eastAsia="zh-CN"/>
        </w:rPr>
        <w:t>（</w:t>
      </w:r>
      <w:r>
        <w:rPr>
          <w:rFonts w:hint="default" w:ascii="仿宋" w:hAnsi="仿宋" w:eastAsia="仿宋" w:cs="仿宋"/>
          <w:sz w:val="32"/>
          <w:szCs w:val="32"/>
          <w:lang w:val="en-US" w:eastAsia="zh-CN"/>
        </w:rPr>
        <w:t>JGJ39-2016</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2019年版）、</w:t>
      </w:r>
      <w:r>
        <w:rPr>
          <w:rFonts w:hint="default" w:ascii="仿宋" w:hAnsi="仿宋" w:eastAsia="仿宋" w:cs="仿宋"/>
          <w:sz w:val="32"/>
          <w:szCs w:val="32"/>
          <w:lang w:val="en-US" w:eastAsia="zh-CN"/>
        </w:rPr>
        <w:t>《幼儿园建设标准（建标175-2016）》</w:t>
      </w:r>
      <w:r>
        <w:rPr>
          <w:rFonts w:hint="eastAsia" w:ascii="仿宋" w:hAnsi="仿宋" w:cs="仿宋"/>
          <w:sz w:val="32"/>
          <w:szCs w:val="32"/>
          <w:lang w:val="en-US" w:eastAsia="zh-CN"/>
        </w:rPr>
        <w:t>、</w:t>
      </w:r>
      <w:r>
        <w:rPr>
          <w:rFonts w:hint="default" w:ascii="仿宋" w:hAnsi="仿宋" w:eastAsia="仿宋" w:cs="仿宋"/>
          <w:sz w:val="32"/>
          <w:szCs w:val="32"/>
          <w:lang w:val="en-US" w:eastAsia="zh-CN"/>
        </w:rPr>
        <w:t>《广西壮族自治区建设用地控制指标（2021年修订）》等相关要求和建设标准。</w:t>
      </w:r>
    </w:p>
    <w:p w14:paraId="571F407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村卫生室建设面积、功能分区、外观标识应达到《广西村卫生室规范化建设设计手册》规定的标准和要求，原则上每个村卫生室的建筑面积不少于80平</w:t>
      </w:r>
      <w:r>
        <w:rPr>
          <w:rFonts w:hint="eastAsia" w:ascii="仿宋" w:hAnsi="仿宋" w:eastAsia="仿宋" w:cs="仿宋"/>
          <w:sz w:val="32"/>
          <w:szCs w:val="32"/>
          <w:lang w:eastAsia="zh-CN"/>
        </w:rPr>
        <w:t>方米</w:t>
      </w:r>
      <w:r>
        <w:rPr>
          <w:rFonts w:hint="default" w:ascii="仿宋" w:hAnsi="仿宋" w:eastAsia="仿宋" w:cs="仿宋"/>
          <w:sz w:val="32"/>
          <w:szCs w:val="32"/>
        </w:rPr>
        <w:t>，服务人口多的，应适当增加建筑面积。</w:t>
      </w:r>
    </w:p>
    <w:p w14:paraId="1B87361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4.</w:t>
      </w:r>
      <w:r>
        <w:rPr>
          <w:rFonts w:hint="default" w:ascii="仿宋" w:hAnsi="仿宋" w:eastAsia="仿宋" w:cs="仿宋"/>
          <w:sz w:val="32"/>
          <w:szCs w:val="32"/>
          <w:lang w:eastAsia="zh-CN"/>
        </w:rPr>
        <w:t>老年活动室、老年人日间照料中心、文化活动室、健身广场、便利店、金融电信服务点、村务室、物流配送点、村级客运站点、公交站点等村级社区生活圈服务要素按照《社区生活圈规划技术指南》（TD/T 1062-2021）有关要求和建设标准设置。服务要素合并设置于村级公共服务中心的，还应满足《广西农村公共服务中心建设工程指导手册》的相关要求。</w:t>
      </w:r>
    </w:p>
    <w:p w14:paraId="7884C920">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bookmarkStart w:id="81" w:name="_Toc13495"/>
      <w:bookmarkStart w:id="82" w:name="_Toc4574"/>
      <w:r>
        <w:rPr>
          <w:rFonts w:hint="eastAsia" w:ascii="Times New Roman" w:hAnsi="Times New Roman" w:cs="Times New Roman"/>
          <w:sz w:val="32"/>
          <w:szCs w:val="32"/>
          <w:highlight w:val="none"/>
          <w:lang w:val="en-US" w:eastAsia="zh-CN"/>
        </w:rPr>
        <w:t>（三）</w:t>
      </w:r>
      <w:r>
        <w:rPr>
          <w:rFonts w:hint="default" w:ascii="Times New Roman" w:hAnsi="Times New Roman" w:cs="Times New Roman"/>
          <w:sz w:val="32"/>
          <w:szCs w:val="32"/>
          <w:highlight w:val="none"/>
          <w:lang w:val="en-US" w:eastAsia="zh-CN"/>
        </w:rPr>
        <w:t>乡村基础和公用设施</w:t>
      </w:r>
      <w:bookmarkEnd w:id="81"/>
      <w:bookmarkEnd w:id="82"/>
    </w:p>
    <w:p w14:paraId="3A8DBE4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w:t>
      </w:r>
      <w:r>
        <w:rPr>
          <w:rFonts w:hint="default" w:ascii="仿宋" w:hAnsi="仿宋" w:eastAsia="仿宋" w:cs="仿宋"/>
          <w:sz w:val="32"/>
          <w:szCs w:val="32"/>
        </w:rPr>
        <w:t>环卫设施</w:t>
      </w:r>
    </w:p>
    <w:p w14:paraId="0799935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bookmarkStart w:id="83" w:name="OLE_LINK14"/>
      <w:r>
        <w:rPr>
          <w:rFonts w:hint="default" w:ascii="仿宋" w:hAnsi="仿宋" w:eastAsia="仿宋" w:cs="仿宋"/>
          <w:sz w:val="32"/>
          <w:szCs w:val="32"/>
        </w:rPr>
        <w:t>公厕宜选址在公共场所附近及人口较集中的区域。</w:t>
      </w:r>
      <w:bookmarkStart w:id="84" w:name="OLE_LINK13"/>
      <w:r>
        <w:rPr>
          <w:rFonts w:hint="default" w:ascii="仿宋" w:hAnsi="仿宋" w:eastAsia="仿宋" w:cs="仿宋"/>
          <w:sz w:val="32"/>
          <w:szCs w:val="32"/>
        </w:rPr>
        <w:t>附属式公厕的面积宜控制在20至70平方米，独立式公厕的面积宜控制在25至90平方米。</w:t>
      </w:r>
      <w:bookmarkEnd w:id="84"/>
      <w:r>
        <w:rPr>
          <w:rFonts w:hint="default" w:ascii="仿宋" w:hAnsi="仿宋" w:eastAsia="仿宋" w:cs="仿宋"/>
          <w:sz w:val="32"/>
          <w:szCs w:val="32"/>
        </w:rPr>
        <w:t>垃圾收集容器的服务半径不宜大于70米。</w:t>
      </w:r>
      <w:bookmarkEnd w:id="83"/>
      <w:r>
        <w:rPr>
          <w:rFonts w:hint="default" w:ascii="仿宋" w:hAnsi="仿宋" w:eastAsia="仿宋" w:cs="仿宋"/>
          <w:sz w:val="32"/>
          <w:szCs w:val="32"/>
        </w:rPr>
        <w:t>村庄垃圾应逐步实现分类收集、封闭运输、无害化处理和资源化利用。环卫设施的选址建设应征得周边利害关系人的同意。</w:t>
      </w:r>
    </w:p>
    <w:p w14:paraId="3A5704E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2.</w:t>
      </w:r>
      <w:r>
        <w:rPr>
          <w:rFonts w:hint="default" w:ascii="仿宋" w:hAnsi="仿宋" w:eastAsia="仿宋" w:cs="仿宋"/>
          <w:sz w:val="32"/>
          <w:szCs w:val="32"/>
        </w:rPr>
        <w:t>雨水管网</w:t>
      </w:r>
    </w:p>
    <w:p w14:paraId="78DF332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农村建筑四周宜设置排水沟渠，并与村内排水管沟相连接。</w:t>
      </w:r>
      <w:bookmarkStart w:id="85" w:name="OLE_LINK15"/>
      <w:r>
        <w:rPr>
          <w:rFonts w:hint="default" w:ascii="仿宋" w:hAnsi="仿宋" w:eastAsia="仿宋" w:cs="仿宋"/>
          <w:sz w:val="32"/>
          <w:szCs w:val="32"/>
        </w:rPr>
        <w:t>排水沟渠的纵坡宜不小于0.3%，</w:t>
      </w:r>
      <w:bookmarkEnd w:id="85"/>
      <w:r>
        <w:rPr>
          <w:rFonts w:hint="default" w:ascii="仿宋" w:hAnsi="仿宋" w:eastAsia="仿宋" w:cs="仿宋"/>
          <w:sz w:val="32"/>
          <w:szCs w:val="32"/>
        </w:rPr>
        <w:t>其宽度和深度应根据降雨量确定。农村建筑屋面宜设置雨水排水管道，并与房屋四周的排水沟渠（管道）连接。雨水排水沟（管）渠的材料可根据地方实际选用混凝土或砖石、鹅卵石、条石、管道等材料。在保证排水顺畅的前提下，可结合排水沟渠的形式，进行沿沟（渠）绿化。</w:t>
      </w:r>
    </w:p>
    <w:p w14:paraId="394ECBB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污水管网</w:t>
      </w:r>
    </w:p>
    <w:p w14:paraId="78D1FAC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农村建筑内生活污水收集宜采用暗管形式，集中收集生活污水。排污管道可根据地方实际选择混凝土管、塑料管等材料。农村建筑内化粪池污水排出管道的管径宜不小于100毫米，炊事、洗衣、洗浴等污水排出管道的管径宜不小于50毫米。污水管宜呈直线布置，排水管宜以短距离与通往村内污水处理设施的管网相连接。农村建筑内污水管道不得敷设在生活饮用水池（箱）上方，不得布置在遇水会引起燃烧、爆炸的原料、产品和设备的上面。污水管应尽量避免与其他管道或设备交叉。</w:t>
      </w:r>
    </w:p>
    <w:p w14:paraId="4AACBDA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4.</w:t>
      </w:r>
      <w:r>
        <w:rPr>
          <w:rFonts w:hint="default" w:ascii="仿宋" w:hAnsi="仿宋" w:eastAsia="仿宋" w:cs="仿宋"/>
          <w:sz w:val="32"/>
          <w:szCs w:val="32"/>
        </w:rPr>
        <w:t>污水处理</w:t>
      </w:r>
    </w:p>
    <w:p w14:paraId="06E2C1B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农村建筑生活污水不得直接外排，宜经过化粪池或沼气池等污水处理设施处理达标后排放。农村户内化粪池的选址应避开主房，宜建在居室、厨房的下风向，并离水井、河道或其它地下取水构筑物30米以上，离农村饮用水水源地50米以上且禁止排入。</w:t>
      </w:r>
    </w:p>
    <w:p w14:paraId="5E248B8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5.</w:t>
      </w:r>
      <w:r>
        <w:rPr>
          <w:rFonts w:hint="default" w:ascii="仿宋" w:hAnsi="仿宋" w:eastAsia="仿宋" w:cs="仿宋"/>
          <w:sz w:val="32"/>
          <w:szCs w:val="32"/>
        </w:rPr>
        <w:t>架空线路</w:t>
      </w:r>
    </w:p>
    <w:p w14:paraId="6C5F97F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村庄内电力、电信线路的架设应符合《电力安全工作规程》的要求，</w:t>
      </w:r>
      <w:bookmarkStart w:id="86" w:name="OLE_LINK1"/>
      <w:r>
        <w:rPr>
          <w:rFonts w:hint="default" w:ascii="仿宋" w:hAnsi="仿宋" w:eastAsia="仿宋" w:cs="仿宋"/>
          <w:sz w:val="32"/>
          <w:szCs w:val="32"/>
        </w:rPr>
        <w:t>电信线路宜进行集中梳理、捆扎或套管处理。</w:t>
      </w:r>
      <w:bookmarkEnd w:id="86"/>
      <w:r>
        <w:rPr>
          <w:rFonts w:hint="default" w:ascii="仿宋" w:hAnsi="仿宋" w:eastAsia="仿宋" w:cs="仿宋"/>
          <w:sz w:val="32"/>
          <w:szCs w:val="32"/>
        </w:rPr>
        <w:t>同时对架空线路进行整理，保证架空线路整齐划一，保持横向水平，纵向垂直，统一靠墙设置。沿墙体敷设的线路宜采用入槽盒、线杆等方式进行有序规整，符合安全要求及横平竖直美观要求。强电线路宜高于弱电线路，中压线路与弱电线路的垂直距离不小于2.5米，低压线路与弱电线路的垂直距离不小于1.5米。</w:t>
      </w:r>
    </w:p>
    <w:p w14:paraId="10D68B6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公共</w:t>
      </w:r>
      <w:r>
        <w:rPr>
          <w:rFonts w:hint="default" w:ascii="仿宋" w:hAnsi="仿宋" w:eastAsia="仿宋" w:cs="仿宋"/>
          <w:sz w:val="32"/>
          <w:szCs w:val="32"/>
        </w:rPr>
        <w:t>区域照明</w:t>
      </w:r>
    </w:p>
    <w:p w14:paraId="280F57A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完善公共活动空间和道路照明设施。沿村庄主要道路宜设置路灯。</w:t>
      </w:r>
    </w:p>
    <w:p w14:paraId="5BC6BF0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7.</w:t>
      </w:r>
      <w:r>
        <w:rPr>
          <w:rFonts w:hint="default" w:ascii="仿宋" w:hAnsi="仿宋" w:eastAsia="仿宋" w:cs="仿宋"/>
          <w:sz w:val="32"/>
          <w:szCs w:val="32"/>
          <w:lang w:eastAsia="zh-CN"/>
        </w:rPr>
        <w:t>其他</w:t>
      </w:r>
    </w:p>
    <w:p w14:paraId="7A9BDBA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给水管网、雨水管网、污水管网布置要求、管径大小，供电工程、通信工程布线方式和走向，以及架空线路等基础设施建设要求，村庄规划有规定的从其规定，未规定的需符合项目可行性研究报告。</w:t>
      </w:r>
    </w:p>
    <w:p w14:paraId="225702E7">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bookmarkStart w:id="87" w:name="_Toc6312"/>
      <w:r>
        <w:rPr>
          <w:rFonts w:hint="eastAsia" w:ascii="Times New Roman" w:hAnsi="Times New Roman" w:cs="Times New Roman"/>
          <w:sz w:val="32"/>
          <w:szCs w:val="32"/>
          <w:highlight w:val="none"/>
          <w:lang w:val="en-US" w:eastAsia="zh-CN"/>
        </w:rPr>
        <w:t>（四）</w:t>
      </w:r>
      <w:r>
        <w:rPr>
          <w:rFonts w:hint="default" w:ascii="Times New Roman" w:hAnsi="Times New Roman" w:cs="Times New Roman"/>
          <w:sz w:val="32"/>
          <w:szCs w:val="32"/>
          <w:highlight w:val="none"/>
          <w:lang w:val="en-US" w:eastAsia="zh-CN"/>
        </w:rPr>
        <w:t>乡村产业</w:t>
      </w:r>
      <w:bookmarkEnd w:id="87"/>
    </w:p>
    <w:p w14:paraId="645217B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乡村产业项目可参照下表确定控制指标。项目建设单位应按照建设项目规划许可流程进行审查报批，明确规划设计条件，并根据该设计条件形成建设工程设计方案，报</w:t>
      </w:r>
      <w:r>
        <w:rPr>
          <w:rFonts w:hint="default" w:ascii="仿宋" w:hAnsi="仿宋" w:eastAsia="仿宋" w:cs="仿宋"/>
          <w:sz w:val="32"/>
          <w:szCs w:val="32"/>
          <w:lang w:eastAsia="zh-CN"/>
        </w:rPr>
        <w:t>荔浦市</w:t>
      </w:r>
      <w:r>
        <w:rPr>
          <w:rFonts w:hint="default" w:ascii="仿宋" w:hAnsi="仿宋" w:eastAsia="仿宋" w:cs="仿宋"/>
          <w:sz w:val="32"/>
          <w:szCs w:val="32"/>
        </w:rPr>
        <w:t>自然资源局审批后实施。</w:t>
      </w:r>
    </w:p>
    <w:p w14:paraId="3D4E482D">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eastAsia" w:ascii="仿宋" w:hAnsi="仿宋" w:eastAsia="仿宋" w:cs="华文中宋"/>
          <w:b/>
          <w:bCs/>
          <w:sz w:val="28"/>
          <w:szCs w:val="28"/>
        </w:rPr>
      </w:pPr>
      <w:r>
        <w:rPr>
          <w:rFonts w:hint="eastAsia" w:ascii="仿宋" w:hAnsi="仿宋" w:eastAsia="仿宋" w:cs="华文中宋"/>
          <w:b/>
          <w:bCs/>
          <w:sz w:val="28"/>
          <w:szCs w:val="28"/>
        </w:rPr>
        <w:t>表</w:t>
      </w:r>
      <w:r>
        <w:rPr>
          <w:rFonts w:hint="eastAsia" w:ascii="仿宋" w:hAnsi="仿宋" w:eastAsia="仿宋" w:cs="华文中宋"/>
          <w:b/>
          <w:bCs/>
          <w:sz w:val="28"/>
          <w:szCs w:val="28"/>
          <w:lang w:val="en-US" w:eastAsia="zh-CN"/>
        </w:rPr>
        <w:t>2</w:t>
      </w:r>
      <w:r>
        <w:rPr>
          <w:rFonts w:hint="eastAsia" w:ascii="仿宋" w:hAnsi="仿宋" w:eastAsia="仿宋" w:cs="华文中宋"/>
          <w:b/>
          <w:bCs/>
          <w:sz w:val="28"/>
          <w:szCs w:val="28"/>
          <w:lang w:eastAsia="zh-CN"/>
        </w:rPr>
        <w:t>：</w:t>
      </w:r>
      <w:r>
        <w:rPr>
          <w:rFonts w:hint="eastAsia" w:ascii="仿宋" w:hAnsi="仿宋" w:eastAsia="仿宋" w:cs="华文中宋"/>
          <w:b/>
          <w:bCs/>
          <w:sz w:val="28"/>
          <w:szCs w:val="28"/>
        </w:rPr>
        <w:t>乡村产业项目建设用地面积指标表</w:t>
      </w:r>
    </w:p>
    <w:tbl>
      <w:tblPr>
        <w:tblStyle w:val="2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899"/>
        <w:gridCol w:w="1425"/>
        <w:gridCol w:w="1394"/>
        <w:gridCol w:w="1428"/>
      </w:tblGrid>
      <w:tr w14:paraId="08AF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13" w:type="dxa"/>
            <w:gridSpan w:val="2"/>
            <w:vAlign w:val="center"/>
          </w:tcPr>
          <w:p w14:paraId="48A4BC5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华文中宋"/>
                <w:b/>
                <w:bCs/>
                <w:sz w:val="24"/>
                <w:szCs w:val="24"/>
              </w:rPr>
            </w:pPr>
            <w:r>
              <w:rPr>
                <w:rFonts w:hint="default" w:ascii="仿宋" w:hAnsi="仿宋" w:eastAsia="仿宋" w:cs="华文中宋"/>
                <w:b/>
                <w:bCs/>
                <w:sz w:val="24"/>
                <w:szCs w:val="24"/>
              </w:rPr>
              <w:t>类别</w:t>
            </w:r>
          </w:p>
        </w:tc>
        <w:tc>
          <w:tcPr>
            <w:tcW w:w="1425" w:type="dxa"/>
            <w:vAlign w:val="center"/>
          </w:tcPr>
          <w:p w14:paraId="2F4E20D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华文中宋"/>
                <w:b/>
                <w:bCs/>
                <w:sz w:val="24"/>
                <w:szCs w:val="24"/>
              </w:rPr>
            </w:pPr>
            <w:r>
              <w:rPr>
                <w:rFonts w:hint="default" w:ascii="仿宋" w:hAnsi="仿宋" w:eastAsia="仿宋" w:cs="华文中宋"/>
                <w:b/>
                <w:bCs/>
                <w:sz w:val="24"/>
                <w:szCs w:val="24"/>
              </w:rPr>
              <w:t>容积率</w:t>
            </w:r>
          </w:p>
        </w:tc>
        <w:tc>
          <w:tcPr>
            <w:tcW w:w="1394" w:type="dxa"/>
            <w:vAlign w:val="center"/>
          </w:tcPr>
          <w:p w14:paraId="0114774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华文中宋"/>
                <w:b/>
                <w:bCs/>
                <w:sz w:val="24"/>
                <w:szCs w:val="24"/>
              </w:rPr>
            </w:pPr>
            <w:r>
              <w:rPr>
                <w:rFonts w:hint="default" w:ascii="仿宋" w:hAnsi="仿宋" w:eastAsia="仿宋" w:cs="华文中宋"/>
                <w:b/>
                <w:bCs/>
                <w:sz w:val="24"/>
                <w:szCs w:val="24"/>
              </w:rPr>
              <w:t>建筑密度/系数</w:t>
            </w:r>
          </w:p>
        </w:tc>
        <w:tc>
          <w:tcPr>
            <w:tcW w:w="1428" w:type="dxa"/>
            <w:vAlign w:val="center"/>
          </w:tcPr>
          <w:p w14:paraId="5202CB4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华文中宋"/>
                <w:b/>
                <w:bCs/>
                <w:sz w:val="24"/>
                <w:szCs w:val="24"/>
              </w:rPr>
            </w:pPr>
            <w:r>
              <w:rPr>
                <w:rFonts w:hint="default" w:ascii="仿宋" w:hAnsi="仿宋" w:eastAsia="仿宋" w:cs="华文中宋"/>
                <w:b/>
                <w:bCs/>
                <w:sz w:val="24"/>
                <w:szCs w:val="24"/>
              </w:rPr>
              <w:t>建筑高度</w:t>
            </w:r>
          </w:p>
        </w:tc>
      </w:tr>
      <w:tr w14:paraId="74EA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4" w:type="dxa"/>
            <w:vAlign w:val="center"/>
          </w:tcPr>
          <w:p w14:paraId="080D07B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工业</w:t>
            </w:r>
          </w:p>
        </w:tc>
        <w:tc>
          <w:tcPr>
            <w:tcW w:w="3899" w:type="dxa"/>
            <w:vAlign w:val="center"/>
          </w:tcPr>
          <w:p w14:paraId="28327304">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一类工业用地</w:t>
            </w:r>
          </w:p>
          <w:p w14:paraId="06B43B63">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二类工业用地</w:t>
            </w:r>
          </w:p>
        </w:tc>
        <w:tc>
          <w:tcPr>
            <w:tcW w:w="1425" w:type="dxa"/>
            <w:vAlign w:val="center"/>
          </w:tcPr>
          <w:p w14:paraId="411E89B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lang w:eastAsia="zh-CN"/>
              </w:rPr>
            </w:pPr>
            <w:r>
              <w:rPr>
                <w:rFonts w:hint="default" w:ascii="仿宋" w:hAnsi="仿宋" w:eastAsia="仿宋" w:cs="华文中宋"/>
                <w:kern w:val="0"/>
                <w:sz w:val="24"/>
                <w:szCs w:val="24"/>
              </w:rPr>
              <w:t>≥0.</w:t>
            </w:r>
            <w:r>
              <w:rPr>
                <w:rFonts w:hint="default" w:ascii="仿宋" w:hAnsi="仿宋" w:eastAsia="仿宋" w:cs="华文中宋"/>
                <w:kern w:val="0"/>
                <w:sz w:val="24"/>
                <w:szCs w:val="24"/>
                <w:lang w:val="en-US" w:eastAsia="zh-CN"/>
              </w:rPr>
              <w:t>7</w:t>
            </w:r>
          </w:p>
        </w:tc>
        <w:tc>
          <w:tcPr>
            <w:tcW w:w="1394" w:type="dxa"/>
            <w:vAlign w:val="center"/>
          </w:tcPr>
          <w:p w14:paraId="75A3334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r>
              <w:rPr>
                <w:rFonts w:hint="default" w:ascii="仿宋" w:hAnsi="仿宋" w:eastAsia="仿宋" w:cs="华文中宋"/>
                <w:kern w:val="0"/>
                <w:sz w:val="24"/>
                <w:szCs w:val="24"/>
                <w:lang w:val="en-US" w:eastAsia="zh-CN"/>
              </w:rPr>
              <w:t>35</w:t>
            </w:r>
            <w:r>
              <w:rPr>
                <w:rFonts w:hint="default" w:ascii="仿宋" w:hAnsi="仿宋" w:eastAsia="仿宋" w:cs="华文中宋"/>
                <w:kern w:val="0"/>
                <w:sz w:val="24"/>
                <w:szCs w:val="24"/>
              </w:rPr>
              <w:t>%</w:t>
            </w:r>
          </w:p>
        </w:tc>
        <w:tc>
          <w:tcPr>
            <w:tcW w:w="1428" w:type="dxa"/>
            <w:vAlign w:val="center"/>
          </w:tcPr>
          <w:p w14:paraId="089F832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r>
              <w:rPr>
                <w:rFonts w:hint="default" w:ascii="仿宋" w:hAnsi="仿宋" w:eastAsia="仿宋" w:cs="华文中宋"/>
                <w:kern w:val="0"/>
                <w:sz w:val="24"/>
                <w:szCs w:val="24"/>
                <w:lang w:val="en-US" w:eastAsia="zh-CN"/>
              </w:rPr>
              <w:t>24</w:t>
            </w:r>
            <w:r>
              <w:rPr>
                <w:rFonts w:hint="default" w:ascii="仿宋" w:hAnsi="仿宋" w:eastAsia="仿宋" w:cs="华文中宋"/>
                <w:kern w:val="0"/>
                <w:sz w:val="24"/>
                <w:szCs w:val="24"/>
              </w:rPr>
              <w:t>米</w:t>
            </w:r>
          </w:p>
        </w:tc>
      </w:tr>
      <w:tr w14:paraId="5D44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14" w:type="dxa"/>
            <w:vAlign w:val="center"/>
          </w:tcPr>
          <w:p w14:paraId="3DA008D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物流仓储</w:t>
            </w:r>
          </w:p>
        </w:tc>
        <w:tc>
          <w:tcPr>
            <w:tcW w:w="3899" w:type="dxa"/>
            <w:vAlign w:val="center"/>
          </w:tcPr>
          <w:p w14:paraId="3ED5032F">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一类物流仓储用地</w:t>
            </w:r>
          </w:p>
          <w:p w14:paraId="1E593348">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二类物流仓储用地</w:t>
            </w:r>
          </w:p>
        </w:tc>
        <w:tc>
          <w:tcPr>
            <w:tcW w:w="1425" w:type="dxa"/>
            <w:vAlign w:val="center"/>
          </w:tcPr>
          <w:p w14:paraId="14894BB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lang w:eastAsia="zh-CN"/>
              </w:rPr>
            </w:pPr>
            <w:r>
              <w:rPr>
                <w:rFonts w:hint="default" w:ascii="仿宋" w:hAnsi="仿宋" w:eastAsia="仿宋" w:cs="华文中宋"/>
                <w:kern w:val="0"/>
                <w:sz w:val="24"/>
                <w:szCs w:val="24"/>
              </w:rPr>
              <w:t>≥0.</w:t>
            </w:r>
            <w:r>
              <w:rPr>
                <w:rFonts w:hint="default" w:ascii="仿宋" w:hAnsi="仿宋" w:eastAsia="仿宋" w:cs="华文中宋"/>
                <w:kern w:val="0"/>
                <w:sz w:val="24"/>
                <w:szCs w:val="24"/>
                <w:lang w:val="en-US" w:eastAsia="zh-CN"/>
              </w:rPr>
              <w:t>7</w:t>
            </w:r>
          </w:p>
        </w:tc>
        <w:tc>
          <w:tcPr>
            <w:tcW w:w="1394" w:type="dxa"/>
            <w:vAlign w:val="center"/>
          </w:tcPr>
          <w:p w14:paraId="3A3B3AE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r>
              <w:rPr>
                <w:rFonts w:hint="default" w:ascii="仿宋" w:hAnsi="仿宋" w:eastAsia="仿宋" w:cs="华文中宋"/>
                <w:kern w:val="0"/>
                <w:sz w:val="24"/>
                <w:szCs w:val="24"/>
                <w:lang w:val="en-US" w:eastAsia="zh-CN"/>
              </w:rPr>
              <w:t>35</w:t>
            </w:r>
            <w:r>
              <w:rPr>
                <w:rFonts w:hint="default" w:ascii="仿宋" w:hAnsi="仿宋" w:eastAsia="仿宋" w:cs="华文中宋"/>
                <w:kern w:val="0"/>
                <w:sz w:val="24"/>
                <w:szCs w:val="24"/>
              </w:rPr>
              <w:t>%</w:t>
            </w:r>
          </w:p>
        </w:tc>
        <w:tc>
          <w:tcPr>
            <w:tcW w:w="1428" w:type="dxa"/>
            <w:vAlign w:val="center"/>
          </w:tcPr>
          <w:p w14:paraId="2FBD8D4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r>
              <w:rPr>
                <w:rFonts w:hint="default" w:ascii="仿宋" w:hAnsi="仿宋" w:eastAsia="仿宋" w:cs="华文中宋"/>
                <w:kern w:val="0"/>
                <w:sz w:val="24"/>
                <w:szCs w:val="24"/>
                <w:lang w:val="en-US" w:eastAsia="zh-CN"/>
              </w:rPr>
              <w:t>24</w:t>
            </w:r>
            <w:r>
              <w:rPr>
                <w:rFonts w:hint="default" w:ascii="仿宋" w:hAnsi="仿宋" w:eastAsia="仿宋" w:cs="华文中宋"/>
                <w:kern w:val="0"/>
                <w:sz w:val="24"/>
                <w:szCs w:val="24"/>
              </w:rPr>
              <w:t>米</w:t>
            </w:r>
          </w:p>
        </w:tc>
      </w:tr>
      <w:tr w14:paraId="7844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14" w:type="dxa"/>
            <w:vMerge w:val="restart"/>
            <w:vAlign w:val="center"/>
          </w:tcPr>
          <w:p w14:paraId="1779D9B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商业服务业</w:t>
            </w:r>
          </w:p>
        </w:tc>
        <w:tc>
          <w:tcPr>
            <w:tcW w:w="3899" w:type="dxa"/>
            <w:vAlign w:val="center"/>
          </w:tcPr>
          <w:p w14:paraId="18F4B53E">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以农产品批发零售为主的市场</w:t>
            </w:r>
          </w:p>
        </w:tc>
        <w:tc>
          <w:tcPr>
            <w:tcW w:w="1425" w:type="dxa"/>
            <w:vAlign w:val="center"/>
          </w:tcPr>
          <w:p w14:paraId="54AAB2E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lang w:val="en-US" w:eastAsia="zh-CN"/>
              </w:rPr>
            </w:pPr>
            <w:r>
              <w:rPr>
                <w:rFonts w:hint="default" w:ascii="仿宋" w:hAnsi="仿宋" w:eastAsia="仿宋" w:cs="华文中宋"/>
                <w:kern w:val="0"/>
                <w:sz w:val="24"/>
                <w:szCs w:val="24"/>
              </w:rPr>
              <w:t>≤</w:t>
            </w:r>
            <w:r>
              <w:rPr>
                <w:rFonts w:hint="default" w:ascii="仿宋" w:hAnsi="仿宋" w:eastAsia="仿宋" w:cs="华文中宋"/>
                <w:kern w:val="0"/>
                <w:sz w:val="24"/>
                <w:szCs w:val="24"/>
                <w:lang w:val="en-US" w:eastAsia="zh-CN"/>
              </w:rPr>
              <w:t>2.0</w:t>
            </w:r>
          </w:p>
        </w:tc>
        <w:tc>
          <w:tcPr>
            <w:tcW w:w="1394" w:type="dxa"/>
            <w:vAlign w:val="center"/>
          </w:tcPr>
          <w:p w14:paraId="148941C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p>
        </w:tc>
        <w:tc>
          <w:tcPr>
            <w:tcW w:w="1428" w:type="dxa"/>
            <w:vAlign w:val="center"/>
          </w:tcPr>
          <w:p w14:paraId="3CBBADE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≤1</w:t>
            </w:r>
            <w:r>
              <w:rPr>
                <w:rFonts w:hint="default" w:ascii="仿宋" w:hAnsi="仿宋" w:eastAsia="仿宋" w:cs="华文中宋"/>
                <w:kern w:val="0"/>
                <w:sz w:val="24"/>
                <w:szCs w:val="24"/>
                <w:lang w:val="en-US" w:eastAsia="zh-CN"/>
              </w:rPr>
              <w:t>6</w:t>
            </w:r>
            <w:r>
              <w:rPr>
                <w:rFonts w:hint="default" w:ascii="仿宋" w:hAnsi="仿宋" w:eastAsia="仿宋" w:cs="华文中宋"/>
                <w:kern w:val="0"/>
                <w:sz w:val="24"/>
                <w:szCs w:val="24"/>
              </w:rPr>
              <w:t>米</w:t>
            </w:r>
          </w:p>
        </w:tc>
      </w:tr>
      <w:tr w14:paraId="4A5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14" w:type="dxa"/>
            <w:vMerge w:val="continue"/>
            <w:vAlign w:val="center"/>
          </w:tcPr>
          <w:p w14:paraId="10940FB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p>
        </w:tc>
        <w:tc>
          <w:tcPr>
            <w:tcW w:w="3899" w:type="dxa"/>
            <w:vAlign w:val="center"/>
          </w:tcPr>
          <w:p w14:paraId="46B2C51B">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服务于乡村旅游的农家乐、民宿旅馆、饭店餐馆等接待设施</w:t>
            </w:r>
          </w:p>
        </w:tc>
        <w:tc>
          <w:tcPr>
            <w:tcW w:w="1425" w:type="dxa"/>
            <w:vAlign w:val="center"/>
          </w:tcPr>
          <w:p w14:paraId="4500B1B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≤2.0</w:t>
            </w:r>
          </w:p>
        </w:tc>
        <w:tc>
          <w:tcPr>
            <w:tcW w:w="1394" w:type="dxa"/>
            <w:vAlign w:val="center"/>
          </w:tcPr>
          <w:p w14:paraId="6FFC4B7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p>
        </w:tc>
        <w:tc>
          <w:tcPr>
            <w:tcW w:w="1428" w:type="dxa"/>
            <w:vAlign w:val="center"/>
          </w:tcPr>
          <w:p w14:paraId="00BC67B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≤1</w:t>
            </w:r>
            <w:r>
              <w:rPr>
                <w:rFonts w:hint="default" w:ascii="仿宋" w:hAnsi="仿宋" w:eastAsia="仿宋" w:cs="华文中宋"/>
                <w:kern w:val="0"/>
                <w:sz w:val="24"/>
                <w:szCs w:val="24"/>
                <w:lang w:val="en-US" w:eastAsia="zh-CN"/>
              </w:rPr>
              <w:t>6</w:t>
            </w:r>
            <w:r>
              <w:rPr>
                <w:rFonts w:hint="default" w:ascii="仿宋" w:hAnsi="仿宋" w:eastAsia="仿宋" w:cs="华文中宋"/>
                <w:kern w:val="0"/>
                <w:sz w:val="24"/>
                <w:szCs w:val="24"/>
              </w:rPr>
              <w:t>米</w:t>
            </w:r>
          </w:p>
        </w:tc>
      </w:tr>
      <w:tr w14:paraId="4992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14" w:type="dxa"/>
            <w:vMerge w:val="continue"/>
            <w:vAlign w:val="center"/>
          </w:tcPr>
          <w:p w14:paraId="2A42A8F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p>
        </w:tc>
        <w:tc>
          <w:tcPr>
            <w:tcW w:w="3899" w:type="dxa"/>
            <w:vAlign w:val="center"/>
          </w:tcPr>
          <w:p w14:paraId="53F45048">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服务于村庄的小超市、网吧、理发店、汽修店、电子产品和日用产品修理店、废品回收站、快递物流和农村电子商务网点等商业设施</w:t>
            </w:r>
          </w:p>
        </w:tc>
        <w:tc>
          <w:tcPr>
            <w:tcW w:w="1425" w:type="dxa"/>
            <w:vAlign w:val="center"/>
          </w:tcPr>
          <w:p w14:paraId="531D55A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lang w:val="en-US" w:eastAsia="zh-CN"/>
              </w:rPr>
            </w:pPr>
            <w:r>
              <w:rPr>
                <w:rFonts w:hint="default" w:ascii="仿宋" w:hAnsi="仿宋" w:eastAsia="仿宋" w:cs="华文中宋"/>
                <w:kern w:val="0"/>
                <w:sz w:val="24"/>
                <w:szCs w:val="24"/>
              </w:rPr>
              <w:t>≤</w:t>
            </w:r>
            <w:r>
              <w:rPr>
                <w:rFonts w:hint="default" w:ascii="仿宋" w:hAnsi="仿宋" w:eastAsia="仿宋" w:cs="华文中宋"/>
                <w:kern w:val="0"/>
                <w:sz w:val="24"/>
                <w:szCs w:val="24"/>
                <w:lang w:val="en-US" w:eastAsia="zh-CN"/>
              </w:rPr>
              <w:t>2.0</w:t>
            </w:r>
          </w:p>
        </w:tc>
        <w:tc>
          <w:tcPr>
            <w:tcW w:w="1394" w:type="dxa"/>
            <w:vAlign w:val="center"/>
          </w:tcPr>
          <w:p w14:paraId="5BD6D76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p>
        </w:tc>
        <w:tc>
          <w:tcPr>
            <w:tcW w:w="1428" w:type="dxa"/>
            <w:vAlign w:val="center"/>
          </w:tcPr>
          <w:p w14:paraId="0766AF7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≤1</w:t>
            </w:r>
            <w:r>
              <w:rPr>
                <w:rFonts w:hint="default" w:ascii="仿宋" w:hAnsi="仿宋" w:eastAsia="仿宋" w:cs="华文中宋"/>
                <w:kern w:val="0"/>
                <w:sz w:val="24"/>
                <w:szCs w:val="24"/>
                <w:lang w:val="en-US" w:eastAsia="zh-CN"/>
              </w:rPr>
              <w:t>6</w:t>
            </w:r>
            <w:r>
              <w:rPr>
                <w:rFonts w:hint="default" w:ascii="仿宋" w:hAnsi="仿宋" w:eastAsia="仿宋" w:cs="华文中宋"/>
                <w:kern w:val="0"/>
                <w:sz w:val="24"/>
                <w:szCs w:val="24"/>
              </w:rPr>
              <w:t>米</w:t>
            </w:r>
          </w:p>
        </w:tc>
      </w:tr>
      <w:tr w14:paraId="0330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vAlign w:val="center"/>
          </w:tcPr>
          <w:p w14:paraId="3134638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p>
        </w:tc>
        <w:tc>
          <w:tcPr>
            <w:tcW w:w="3899" w:type="dxa"/>
            <w:vAlign w:val="center"/>
          </w:tcPr>
          <w:p w14:paraId="4D9F189F">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服务于乡村旅游的游客接待中心、科普教育、采摘助养、绿道驿站等文旅设施</w:t>
            </w:r>
          </w:p>
        </w:tc>
        <w:tc>
          <w:tcPr>
            <w:tcW w:w="1425" w:type="dxa"/>
            <w:vAlign w:val="center"/>
          </w:tcPr>
          <w:p w14:paraId="647F840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≤2.0</w:t>
            </w:r>
          </w:p>
        </w:tc>
        <w:tc>
          <w:tcPr>
            <w:tcW w:w="1394" w:type="dxa"/>
            <w:vAlign w:val="center"/>
          </w:tcPr>
          <w:p w14:paraId="7C46303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p>
        </w:tc>
        <w:tc>
          <w:tcPr>
            <w:tcW w:w="1428" w:type="dxa"/>
            <w:vAlign w:val="center"/>
          </w:tcPr>
          <w:p w14:paraId="4AE695A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≤1</w:t>
            </w:r>
            <w:r>
              <w:rPr>
                <w:rFonts w:hint="default" w:ascii="仿宋" w:hAnsi="仿宋" w:eastAsia="仿宋" w:cs="华文中宋"/>
                <w:kern w:val="0"/>
                <w:sz w:val="24"/>
                <w:szCs w:val="24"/>
                <w:lang w:val="en-US" w:eastAsia="zh-CN"/>
              </w:rPr>
              <w:t>6</w:t>
            </w:r>
            <w:r>
              <w:rPr>
                <w:rFonts w:hint="default" w:ascii="仿宋" w:hAnsi="仿宋" w:eastAsia="仿宋" w:cs="华文中宋"/>
                <w:kern w:val="0"/>
                <w:sz w:val="24"/>
                <w:szCs w:val="24"/>
              </w:rPr>
              <w:t>米</w:t>
            </w:r>
          </w:p>
        </w:tc>
      </w:tr>
    </w:tbl>
    <w:p w14:paraId="5B6D448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bookmarkStart w:id="88" w:name="_Toc2484"/>
      <w:r>
        <w:rPr>
          <w:rFonts w:hint="default" w:ascii="仿宋" w:hAnsi="仿宋" w:eastAsia="仿宋" w:cs="仿宋"/>
          <w:sz w:val="32"/>
          <w:szCs w:val="32"/>
          <w:lang w:val="en-US" w:eastAsia="zh-CN"/>
        </w:rPr>
        <w:t>设施农用地建设须严格限定于农业生产直接相关的生产设施及必要附属设施，严禁建设“大棚房”等非农设施。应符合相关建设标准规范，保障结构及生产安全。必须配套有效的环保设施（尤其是养殖类），确保废弃物达标处理或资源化利用，减少对生态环境的影响。涉及耕地的，应尽可能保护耕作层。用地须依法备案，接受全程监管，停止使用后应及时恢复土地原状或复耕。</w:t>
      </w:r>
    </w:p>
    <w:p w14:paraId="11FEEEA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采矿项目建设须坚持节约集约用地与生态修复同步原则，强化全周期监管。采用出让、租赁、作价出资等多元供地方式创新，符合露天开采、边采边复等条件的可依法使用临时用地，并确保农用地恢复原种植条件；用地期限不得超过矿业权有效期，分期项目推行“分期报批、循环用地”模式。严格落实生态修复刚性约束，实施“边开采、边修复”，建立矿山生态修复基金账户，临时用地须编制并报批备案土地复垦方案，闭坑后依法履行土地复垦义务恢复生态功能。依托国土空间规划“一张图”及自然资源综合监测系统实施信息化监管，动态跟踪用地合规性，严查未批先建、超占土地等行为。</w:t>
      </w:r>
    </w:p>
    <w:p w14:paraId="2B233AD7">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（五）</w:t>
      </w:r>
      <w:r>
        <w:rPr>
          <w:rFonts w:hint="default" w:ascii="Times New Roman" w:hAnsi="Times New Roman" w:cs="Times New Roman"/>
          <w:sz w:val="32"/>
          <w:szCs w:val="32"/>
          <w:highlight w:val="none"/>
          <w:lang w:val="en-US" w:eastAsia="zh-CN"/>
        </w:rPr>
        <w:t>地下空间开发利用</w:t>
      </w:r>
    </w:p>
    <w:p w14:paraId="6F14FF3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鼓励地上与地下空间的一体化开发利用，以合理利用地下空间资源，提高地面环境质量，使地下空间开发利用成为缓解用地紧缺的有效途径。乡村地区地下空间的开发利用应符合国土空间总体规划和相关专项规划（如地下空间利用专项规划）的要求。具体要求如下：</w:t>
      </w:r>
    </w:p>
    <w:p w14:paraId="5D15645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w:t>
      </w:r>
      <w:r>
        <w:rPr>
          <w:rFonts w:hint="default" w:ascii="仿宋" w:hAnsi="仿宋" w:eastAsia="仿宋" w:cs="仿宋"/>
          <w:sz w:val="32"/>
          <w:szCs w:val="32"/>
        </w:rPr>
        <w:t>宅基地地下空间的开发利用不得超过批准的宅基地范围，且不得影响周边建筑的安全。</w:t>
      </w:r>
    </w:p>
    <w:p w14:paraId="62D0D9C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2.</w:t>
      </w:r>
      <w:r>
        <w:rPr>
          <w:rFonts w:hint="default" w:ascii="仿宋" w:hAnsi="仿宋" w:eastAsia="仿宋" w:cs="仿宋"/>
          <w:sz w:val="32"/>
          <w:szCs w:val="32"/>
        </w:rPr>
        <w:t>商业、公共服务设施、公共步行通道、人防设施、地下停车场等设施的竖向开发应控制层数，不得超过1层。</w:t>
      </w:r>
    </w:p>
    <w:p w14:paraId="2F80191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地下建筑物的退界距离不得小于地下建筑物深度（自室外地面至地下建筑物底板底部的距离）的0.7倍，且最小值不得小于3米。</w:t>
      </w:r>
    </w:p>
    <w:p w14:paraId="71C74A20">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89" w:name="_Toc29368"/>
      <w:r>
        <w:rPr>
          <w:rFonts w:hint="eastAsia" w:ascii="仿宋_GB2312" w:hAnsi="仿宋_GB2312" w:eastAsia="仿宋_GB2312" w:cs="仿宋_GB2312"/>
          <w:bCs/>
          <w:color w:val="auto"/>
          <w:szCs w:val="32"/>
        </w:rPr>
        <w:t>第1</w:t>
      </w:r>
      <w:r>
        <w:rPr>
          <w:rFonts w:hint="eastAsia" w:ascii="仿宋_GB2312" w:hAnsi="仿宋_GB2312" w:eastAsia="仿宋_GB2312" w:cs="仿宋_GB2312"/>
          <w:bCs/>
          <w:color w:val="auto"/>
          <w:szCs w:val="32"/>
          <w:lang w:val="en-US" w:eastAsia="zh-CN"/>
        </w:rPr>
        <w:t>6</w:t>
      </w:r>
      <w:r>
        <w:rPr>
          <w:rFonts w:hint="eastAsia" w:ascii="仿宋_GB2312" w:hAnsi="仿宋_GB2312" w:eastAsia="仿宋_GB2312" w:cs="仿宋_GB2312"/>
          <w:bCs/>
          <w:color w:val="auto"/>
          <w:szCs w:val="32"/>
        </w:rPr>
        <w:t>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建筑临距控制</w:t>
      </w:r>
      <w:bookmarkEnd w:id="88"/>
      <w:bookmarkEnd w:id="89"/>
    </w:p>
    <w:p w14:paraId="06CC308D">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bookmarkStart w:id="90" w:name="_Toc5386"/>
      <w:r>
        <w:rPr>
          <w:rFonts w:hint="eastAsia" w:ascii="Times New Roman" w:hAnsi="Times New Roman" w:cs="Times New Roman"/>
          <w:sz w:val="32"/>
          <w:szCs w:val="32"/>
          <w:highlight w:val="none"/>
          <w:lang w:val="en-US" w:eastAsia="zh-CN"/>
        </w:rPr>
        <w:t>（一）</w:t>
      </w:r>
      <w:r>
        <w:rPr>
          <w:rFonts w:hint="default" w:ascii="Times New Roman" w:hAnsi="Times New Roman" w:cs="Times New Roman"/>
          <w:sz w:val="32"/>
          <w:szCs w:val="32"/>
          <w:highlight w:val="none"/>
          <w:lang w:val="en-US" w:eastAsia="zh-CN"/>
        </w:rPr>
        <w:t>新建乡村建筑临距控制</w:t>
      </w:r>
      <w:bookmarkEnd w:id="90"/>
    </w:p>
    <w:p w14:paraId="7343F67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建筑间距应不妨害相邻权、地役权，应保证相邻房屋的正常日照、采光、通风和通行要求，并符合《农村防火规范》（GB 50039-2010）、《建筑防火通用规范》（GB 55037-2022）等相关要求和现行建设标准。</w:t>
      </w:r>
    </w:p>
    <w:p w14:paraId="67D9EAC7">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（二）</w:t>
      </w:r>
      <w:r>
        <w:rPr>
          <w:rFonts w:hint="default" w:ascii="Times New Roman" w:hAnsi="Times New Roman" w:cs="Times New Roman"/>
          <w:sz w:val="32"/>
          <w:szCs w:val="32"/>
          <w:highlight w:val="none"/>
          <w:lang w:val="en-US" w:eastAsia="zh-CN"/>
        </w:rPr>
        <w:t>退让道路</w:t>
      </w:r>
    </w:p>
    <w:p w14:paraId="649F6A6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w:t>
      </w:r>
      <w:r>
        <w:rPr>
          <w:rFonts w:hint="default" w:ascii="仿宋" w:hAnsi="仿宋" w:eastAsia="仿宋" w:cs="仿宋"/>
          <w:sz w:val="32"/>
          <w:szCs w:val="32"/>
        </w:rPr>
        <w:t>新建、改建、扩建住宅临路方向应与同侧相邻建筑外墙面边界齐平，保证沿路建筑的整齐美观</w:t>
      </w:r>
      <w:r>
        <w:rPr>
          <w:rFonts w:hint="eastAsia" w:ascii="仿宋" w:hAnsi="仿宋" w:cs="仿宋"/>
          <w:sz w:val="32"/>
          <w:szCs w:val="32"/>
          <w:lang w:eastAsia="zh-CN"/>
        </w:rPr>
        <w:t>。</w:t>
      </w:r>
    </w:p>
    <w:p w14:paraId="7862AE6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2.</w:t>
      </w:r>
      <w:r>
        <w:rPr>
          <w:rFonts w:hint="default" w:ascii="仿宋" w:hAnsi="仿宋" w:eastAsia="仿宋" w:cs="仿宋"/>
          <w:sz w:val="32"/>
          <w:szCs w:val="32"/>
        </w:rPr>
        <w:t>新建、改建、扩建乡村建筑临村庄道路时，建筑及其附属围墙投影范围宜后退村庄道路边线1米以上，临路方向后退距离如村内有约定的，按照约定退让距离执行。</w:t>
      </w:r>
    </w:p>
    <w:p w14:paraId="027D9FD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在高</w:t>
      </w:r>
      <w:r>
        <w:rPr>
          <w:rFonts w:hint="eastAsia" w:ascii="仿宋" w:hAnsi="仿宋" w:eastAsia="仿宋" w:cs="仿宋"/>
          <w:sz w:val="32"/>
          <w:szCs w:val="32"/>
          <w:lang w:eastAsia="zh-CN"/>
        </w:rPr>
        <w:t>速公</w:t>
      </w:r>
      <w:r>
        <w:rPr>
          <w:rFonts w:hint="default" w:ascii="仿宋" w:hAnsi="仿宋" w:eastAsia="仿宋" w:cs="仿宋"/>
          <w:sz w:val="32"/>
          <w:szCs w:val="32"/>
        </w:rPr>
        <w:t>路、公路两侧建设的建筑退让应满足《广西壮族自治区实施</w:t>
      </w:r>
      <w:r>
        <w:rPr>
          <w:rFonts w:hint="eastAsia" w:ascii="仿宋" w:hAnsi="仿宋" w:eastAsia="仿宋" w:cs="仿宋"/>
          <w:sz w:val="32"/>
          <w:szCs w:val="32"/>
          <w:lang w:eastAsia="zh-CN"/>
        </w:rPr>
        <w:t>〈</w:t>
      </w:r>
      <w:r>
        <w:rPr>
          <w:rFonts w:hint="eastAsia" w:ascii="仿宋" w:hAnsi="仿宋" w:cs="仿宋"/>
          <w:sz w:val="32"/>
          <w:szCs w:val="32"/>
          <w:lang w:val="en-US" w:eastAsia="zh-CN"/>
        </w:rPr>
        <w:t>中华人民共和国</w:t>
      </w:r>
      <w:r>
        <w:rPr>
          <w:rFonts w:hint="default" w:ascii="仿宋" w:hAnsi="仿宋" w:eastAsia="仿宋" w:cs="仿宋"/>
          <w:sz w:val="32"/>
          <w:szCs w:val="32"/>
        </w:rPr>
        <w:t>公路法</w:t>
      </w:r>
      <w:r>
        <w:rPr>
          <w:rFonts w:hint="eastAsia" w:ascii="仿宋" w:hAnsi="仿宋" w:eastAsia="仿宋" w:cs="仿宋"/>
          <w:sz w:val="32"/>
          <w:szCs w:val="32"/>
          <w:lang w:eastAsia="zh-CN"/>
        </w:rPr>
        <w:t>〉</w:t>
      </w:r>
      <w:r>
        <w:rPr>
          <w:rFonts w:hint="default" w:ascii="仿宋" w:hAnsi="仿宋" w:eastAsia="仿宋" w:cs="仿宋"/>
          <w:sz w:val="32"/>
          <w:szCs w:val="32"/>
        </w:rPr>
        <w:t>办法》的有关条款：一般建筑按下列要求退让公路用地外缘：高速公路互通立交和特大型桥梁50米及以上；高速公路规划红线两侧（包括立交匝道及连接线、收费站）30米及以上；国道20米及以上；省道15米及以上；县道10米及以上；乡道5米及以上；村屯间主要道路3米及以上。学校、货物集散地、大型商业网点、农贸市场等人流量较大的公共场所，尽可能在公路一侧建设。</w:t>
      </w:r>
    </w:p>
    <w:p w14:paraId="7D3BC843">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（三）</w:t>
      </w:r>
      <w:r>
        <w:rPr>
          <w:rFonts w:hint="default" w:ascii="Times New Roman" w:hAnsi="Times New Roman" w:cs="Times New Roman"/>
          <w:sz w:val="32"/>
          <w:szCs w:val="32"/>
          <w:highlight w:val="none"/>
          <w:lang w:val="en-US" w:eastAsia="zh-CN"/>
        </w:rPr>
        <w:t>中心城区重要道路临距控制</w:t>
      </w:r>
    </w:p>
    <w:p w14:paraId="0FC6436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南环路、北环路、东环路、汇光路、荔桂路、中园路、科创路等重要的交通道路，参照《桂林市城市规划管理技术规定》，沿路建设的所有建筑物须退让道路规划红线不小于15米，非建筑区内除道路必需的设施与辅道外，其余用地作为道路景观绿化带进行美化，并作为公共开放空间开放。</w:t>
      </w:r>
    </w:p>
    <w:p w14:paraId="0C6421A4">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（四）</w:t>
      </w:r>
      <w:r>
        <w:rPr>
          <w:rFonts w:hint="default" w:ascii="Times New Roman" w:hAnsi="Times New Roman" w:cs="Times New Roman"/>
          <w:sz w:val="32"/>
          <w:szCs w:val="32"/>
          <w:highlight w:val="none"/>
          <w:lang w:val="en-US" w:eastAsia="zh-CN"/>
        </w:rPr>
        <w:t>退让铁路</w:t>
      </w:r>
    </w:p>
    <w:p w14:paraId="5EA70E0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w:t>
      </w:r>
      <w:r>
        <w:rPr>
          <w:rFonts w:hint="default" w:ascii="仿宋" w:hAnsi="仿宋" w:eastAsia="仿宋" w:cs="仿宋"/>
          <w:sz w:val="32"/>
          <w:szCs w:val="32"/>
        </w:rPr>
        <w:t>铁路干线两侧的建（构）筑物与最外侧轨道中心线的距离不得小于30米；铁路支线、专用线两侧的建筑工程与轨道中心线的距离不得小于20米；铁路两侧的围墙与轨道中心线的距离不得小于10米，围墙高度不得高于3米。</w:t>
      </w:r>
    </w:p>
    <w:p w14:paraId="583CE09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2.</w:t>
      </w:r>
      <w:r>
        <w:rPr>
          <w:rFonts w:hint="default" w:ascii="仿宋" w:hAnsi="仿宋" w:eastAsia="仿宋" w:cs="仿宋"/>
          <w:sz w:val="32"/>
          <w:szCs w:val="32"/>
        </w:rPr>
        <w:t>沿铁路两侧需建铁路配套设施的，应另设专项报批。</w:t>
      </w:r>
    </w:p>
    <w:p w14:paraId="1B9D0BA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在铁路道口附近进行建设的，必须符合铁路道口管理的有关规定。</w:t>
      </w:r>
    </w:p>
    <w:p w14:paraId="5FFE42E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rPr>
        <w:t>特殊路段的隔离带宽度由规划主管部门会同铁路部门确定。</w:t>
      </w:r>
    </w:p>
    <w:p w14:paraId="5398D0CA">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bookmarkStart w:id="91" w:name="OLE_LINK16"/>
      <w:r>
        <w:rPr>
          <w:rFonts w:hint="eastAsia" w:ascii="Times New Roman" w:hAnsi="Times New Roman" w:cs="Times New Roman"/>
          <w:sz w:val="32"/>
          <w:szCs w:val="32"/>
          <w:highlight w:val="none"/>
          <w:lang w:val="en-US" w:eastAsia="zh-CN"/>
        </w:rPr>
        <w:t>（五）</w:t>
      </w:r>
      <w:r>
        <w:rPr>
          <w:rFonts w:hint="default" w:ascii="Times New Roman" w:hAnsi="Times New Roman" w:cs="Times New Roman"/>
          <w:sz w:val="32"/>
          <w:szCs w:val="32"/>
          <w:highlight w:val="none"/>
          <w:lang w:val="en-US" w:eastAsia="zh-CN"/>
        </w:rPr>
        <w:t>退让电力线路</w:t>
      </w:r>
      <w:bookmarkEnd w:id="91"/>
    </w:p>
    <w:p w14:paraId="66C2B7F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建筑退让架空电力线路的距离不小于表3规定。</w:t>
      </w:r>
    </w:p>
    <w:p w14:paraId="46183F1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建筑退让地下电力通道同侧边缘应当不小于0.75米。</w:t>
      </w:r>
    </w:p>
    <w:p w14:paraId="7ED0B34F">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eastAsia" w:ascii="仿宋" w:hAnsi="仿宋" w:eastAsia="仿宋" w:cs="华文中宋"/>
          <w:b/>
          <w:bCs/>
          <w:sz w:val="28"/>
          <w:szCs w:val="28"/>
          <w:lang w:val="en-US" w:eastAsia="zh-CN"/>
        </w:rPr>
      </w:pPr>
      <w:r>
        <w:rPr>
          <w:rFonts w:hint="eastAsia" w:ascii="仿宋" w:hAnsi="仿宋" w:eastAsia="仿宋" w:cs="华文中宋"/>
          <w:b/>
          <w:bCs/>
          <w:sz w:val="28"/>
          <w:szCs w:val="28"/>
          <w:lang w:val="en-US" w:eastAsia="zh-CN"/>
        </w:rPr>
        <w:t>表3</w:t>
      </w:r>
      <w:r>
        <w:rPr>
          <w:rFonts w:hint="eastAsia" w:ascii="仿宋" w:hAnsi="仿宋" w:eastAsia="仿宋" w:cs="华文中宋"/>
          <w:b/>
          <w:bCs/>
          <w:sz w:val="28"/>
          <w:szCs w:val="28"/>
          <w:lang w:eastAsia="zh-CN"/>
        </w:rPr>
        <w:t>：</w:t>
      </w:r>
      <w:r>
        <w:rPr>
          <w:rFonts w:hint="eastAsia" w:ascii="仿宋" w:hAnsi="仿宋" w:eastAsia="仿宋" w:cs="华文中宋"/>
          <w:b/>
          <w:bCs/>
          <w:sz w:val="28"/>
          <w:szCs w:val="28"/>
          <w:lang w:val="en-US" w:eastAsia="zh-CN"/>
        </w:rPr>
        <w:t>建筑物退让电力线路距离</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3216"/>
        <w:gridCol w:w="2697"/>
      </w:tblGrid>
      <w:tr w14:paraId="5F44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09" w:type="dxa"/>
            <w:vAlign w:val="center"/>
          </w:tcPr>
          <w:p w14:paraId="4442A9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线路电压等级（kV）</w:t>
            </w:r>
          </w:p>
        </w:tc>
        <w:tc>
          <w:tcPr>
            <w:tcW w:w="3216" w:type="dxa"/>
            <w:vAlign w:val="center"/>
          </w:tcPr>
          <w:p w14:paraId="529B314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退最近架空电力边导线（米）</w:t>
            </w:r>
          </w:p>
        </w:tc>
        <w:tc>
          <w:tcPr>
            <w:tcW w:w="2697" w:type="dxa"/>
            <w:vAlign w:val="center"/>
          </w:tcPr>
          <w:p w14:paraId="7E1F2DD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退规划高压线走廊中心线（米）</w:t>
            </w:r>
          </w:p>
        </w:tc>
      </w:tr>
      <w:tr w14:paraId="1309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9" w:type="dxa"/>
            <w:vAlign w:val="center"/>
          </w:tcPr>
          <w:p w14:paraId="3CD924A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≤10</w:t>
            </w:r>
          </w:p>
        </w:tc>
        <w:tc>
          <w:tcPr>
            <w:tcW w:w="3216" w:type="dxa"/>
            <w:vAlign w:val="center"/>
          </w:tcPr>
          <w:p w14:paraId="0805B72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2</w:t>
            </w:r>
          </w:p>
        </w:tc>
        <w:tc>
          <w:tcPr>
            <w:tcW w:w="2697" w:type="dxa"/>
            <w:vAlign w:val="center"/>
          </w:tcPr>
          <w:p w14:paraId="783DCE3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5</w:t>
            </w:r>
          </w:p>
        </w:tc>
      </w:tr>
      <w:tr w14:paraId="69DD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9" w:type="dxa"/>
            <w:vAlign w:val="center"/>
          </w:tcPr>
          <w:p w14:paraId="668AF4C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35</w:t>
            </w:r>
          </w:p>
        </w:tc>
        <w:tc>
          <w:tcPr>
            <w:tcW w:w="3216" w:type="dxa"/>
            <w:vAlign w:val="center"/>
          </w:tcPr>
          <w:p w14:paraId="614D9BD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3</w:t>
            </w:r>
          </w:p>
        </w:tc>
        <w:tc>
          <w:tcPr>
            <w:tcW w:w="2697" w:type="dxa"/>
            <w:vAlign w:val="center"/>
          </w:tcPr>
          <w:p w14:paraId="279B203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10</w:t>
            </w:r>
          </w:p>
        </w:tc>
      </w:tr>
      <w:tr w14:paraId="7B6E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9" w:type="dxa"/>
            <w:vAlign w:val="center"/>
          </w:tcPr>
          <w:p w14:paraId="15246AA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66、110</w:t>
            </w:r>
          </w:p>
        </w:tc>
        <w:tc>
          <w:tcPr>
            <w:tcW w:w="3216" w:type="dxa"/>
            <w:vAlign w:val="center"/>
          </w:tcPr>
          <w:p w14:paraId="1E40B01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4</w:t>
            </w:r>
          </w:p>
        </w:tc>
        <w:tc>
          <w:tcPr>
            <w:tcW w:w="2697" w:type="dxa"/>
            <w:vAlign w:val="center"/>
          </w:tcPr>
          <w:p w14:paraId="43FF41D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12</w:t>
            </w:r>
          </w:p>
        </w:tc>
      </w:tr>
      <w:tr w14:paraId="45E9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9" w:type="dxa"/>
            <w:vAlign w:val="center"/>
          </w:tcPr>
          <w:p w14:paraId="7E8A85D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220</w:t>
            </w:r>
          </w:p>
        </w:tc>
        <w:tc>
          <w:tcPr>
            <w:tcW w:w="3216" w:type="dxa"/>
            <w:vAlign w:val="center"/>
          </w:tcPr>
          <w:p w14:paraId="17D14AF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5</w:t>
            </w:r>
          </w:p>
        </w:tc>
        <w:tc>
          <w:tcPr>
            <w:tcW w:w="2697" w:type="dxa"/>
            <w:vAlign w:val="center"/>
          </w:tcPr>
          <w:p w14:paraId="32B6912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20</w:t>
            </w:r>
          </w:p>
        </w:tc>
      </w:tr>
      <w:tr w14:paraId="754A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09" w:type="dxa"/>
            <w:vAlign w:val="center"/>
          </w:tcPr>
          <w:p w14:paraId="2764CA1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330</w:t>
            </w:r>
          </w:p>
        </w:tc>
        <w:tc>
          <w:tcPr>
            <w:tcW w:w="3216" w:type="dxa"/>
            <w:vAlign w:val="center"/>
          </w:tcPr>
          <w:p w14:paraId="7344B48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6</w:t>
            </w:r>
          </w:p>
        </w:tc>
        <w:tc>
          <w:tcPr>
            <w:tcW w:w="2697" w:type="dxa"/>
            <w:vAlign w:val="center"/>
          </w:tcPr>
          <w:p w14:paraId="3E005C8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22</w:t>
            </w:r>
          </w:p>
        </w:tc>
      </w:tr>
      <w:tr w14:paraId="2474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9" w:type="dxa"/>
            <w:vAlign w:val="center"/>
          </w:tcPr>
          <w:p w14:paraId="596F83D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500</w:t>
            </w:r>
          </w:p>
        </w:tc>
        <w:tc>
          <w:tcPr>
            <w:tcW w:w="3216" w:type="dxa"/>
            <w:vAlign w:val="center"/>
          </w:tcPr>
          <w:p w14:paraId="4F7AE9E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10</w:t>
            </w:r>
          </w:p>
        </w:tc>
        <w:tc>
          <w:tcPr>
            <w:tcW w:w="2697" w:type="dxa"/>
            <w:vAlign w:val="center"/>
          </w:tcPr>
          <w:p w14:paraId="482A4DE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37</w:t>
            </w:r>
          </w:p>
        </w:tc>
      </w:tr>
    </w:tbl>
    <w:p w14:paraId="77FF6574">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00"/>
        <w:jc w:val="left"/>
        <w:textAlignment w:val="auto"/>
        <w:rPr>
          <w:rFonts w:hint="eastAsia" w:ascii="仿宋" w:hAnsi="仿宋" w:eastAsia="仿宋"/>
          <w:sz w:val="24"/>
          <w:szCs w:val="32"/>
          <w:lang w:val="en-US" w:eastAsia="zh-CN"/>
        </w:rPr>
      </w:pPr>
      <w:r>
        <w:rPr>
          <w:rFonts w:hint="eastAsia" w:ascii="仿宋" w:hAnsi="仿宋" w:eastAsia="仿宋"/>
          <w:sz w:val="24"/>
          <w:szCs w:val="32"/>
        </w:rPr>
        <w:t>注：退最近架空电力边导线数值是电力线路边导线在最大风偏时的建筑物退让最小水平距离值。</w:t>
      </w:r>
    </w:p>
    <w:p w14:paraId="7DEA76C5">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92" w:name="_Toc32300"/>
      <w:bookmarkStart w:id="93" w:name="_Toc23464"/>
      <w:r>
        <w:rPr>
          <w:rFonts w:hint="eastAsia" w:ascii="仿宋_GB2312" w:hAnsi="仿宋_GB2312" w:eastAsia="仿宋_GB2312" w:cs="仿宋_GB2312"/>
          <w:bCs/>
          <w:color w:val="auto"/>
          <w:szCs w:val="32"/>
        </w:rPr>
        <w:t>第1</w:t>
      </w:r>
      <w:r>
        <w:rPr>
          <w:rFonts w:hint="eastAsia" w:ascii="仿宋_GB2312" w:hAnsi="仿宋_GB2312" w:eastAsia="仿宋_GB2312" w:cs="仿宋_GB2312"/>
          <w:bCs/>
          <w:color w:val="auto"/>
          <w:szCs w:val="32"/>
          <w:lang w:val="en-US" w:eastAsia="zh-CN"/>
        </w:rPr>
        <w:t>7</w:t>
      </w:r>
      <w:r>
        <w:rPr>
          <w:rFonts w:hint="eastAsia" w:ascii="仿宋_GB2312" w:hAnsi="仿宋_GB2312" w:eastAsia="仿宋_GB2312" w:cs="仿宋_GB2312"/>
          <w:bCs/>
          <w:color w:val="auto"/>
          <w:szCs w:val="32"/>
        </w:rPr>
        <w:t>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建筑高度控制</w:t>
      </w:r>
      <w:bookmarkEnd w:id="92"/>
      <w:bookmarkEnd w:id="93"/>
      <w:bookmarkStart w:id="94" w:name="第二节_建筑高度控制"/>
      <w:bookmarkEnd w:id="94"/>
      <w:bookmarkStart w:id="95" w:name="_bookmark14"/>
      <w:bookmarkEnd w:id="95"/>
    </w:p>
    <w:p w14:paraId="0503A84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（一）</w:t>
      </w:r>
      <w:r>
        <w:rPr>
          <w:rFonts w:hint="default" w:ascii="仿宋" w:hAnsi="仿宋" w:eastAsia="仿宋" w:cs="仿宋"/>
          <w:sz w:val="32"/>
          <w:szCs w:val="32"/>
        </w:rPr>
        <w:t>乡村建筑高度应满足安全、日照、通风等基本要求，如涉及城市重要景观地区、文保单位、传统村落、风景名胜区、自然保护区、机场等特定区域，还应符合城市景观、历史文化保护、生态保护等特定的高度管控要求。</w:t>
      </w:r>
    </w:p>
    <w:p w14:paraId="4DA3F14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（二）</w:t>
      </w:r>
      <w:r>
        <w:rPr>
          <w:rFonts w:hint="default" w:ascii="仿宋" w:hAnsi="仿宋" w:eastAsia="仿宋" w:cs="仿宋"/>
          <w:sz w:val="32"/>
          <w:szCs w:val="32"/>
        </w:rPr>
        <w:t>村庄新建农房建筑层数一般不得超过</w:t>
      </w:r>
      <w:r>
        <w:rPr>
          <w:rFonts w:hint="default" w:ascii="仿宋" w:hAnsi="仿宋" w:eastAsia="仿宋" w:cs="仿宋"/>
          <w:sz w:val="32"/>
          <w:szCs w:val="32"/>
          <w:lang w:val="en-US" w:eastAsia="zh-CN"/>
        </w:rPr>
        <w:t>4</w:t>
      </w:r>
      <w:r>
        <w:rPr>
          <w:rFonts w:hint="default" w:ascii="仿宋" w:hAnsi="仿宋" w:eastAsia="仿宋" w:cs="仿宋"/>
          <w:sz w:val="32"/>
          <w:szCs w:val="32"/>
        </w:rPr>
        <w:t>层（地下室不计入层数，不计入450平方米控制建筑面积内），总高度不得超过1</w:t>
      </w:r>
      <w:r>
        <w:rPr>
          <w:rFonts w:hint="default" w:ascii="仿宋" w:hAnsi="仿宋" w:eastAsia="仿宋" w:cs="仿宋"/>
          <w:sz w:val="32"/>
          <w:szCs w:val="32"/>
          <w:lang w:val="en-US" w:eastAsia="zh-CN"/>
        </w:rPr>
        <w:t>5</w:t>
      </w:r>
      <w:r>
        <w:rPr>
          <w:rFonts w:hint="default" w:ascii="仿宋" w:hAnsi="仿宋" w:eastAsia="仿宋" w:cs="仿宋"/>
          <w:sz w:val="32"/>
          <w:szCs w:val="32"/>
        </w:rPr>
        <w:t>米。</w:t>
      </w:r>
    </w:p>
    <w:p w14:paraId="4B97E67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（三）</w:t>
      </w:r>
      <w:r>
        <w:rPr>
          <w:rFonts w:hint="default" w:ascii="仿宋" w:hAnsi="仿宋" w:eastAsia="仿宋" w:cs="仿宋"/>
          <w:sz w:val="32"/>
          <w:szCs w:val="32"/>
        </w:rPr>
        <w:t>公共服务设施、经营性建筑层高可根据相关技术规范适当增加，建筑高度应符合村庄整体风貌要求。</w:t>
      </w:r>
    </w:p>
    <w:p w14:paraId="6FB8343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（四）</w:t>
      </w:r>
      <w:r>
        <w:rPr>
          <w:rFonts w:hint="default" w:ascii="仿宋" w:hAnsi="仿宋" w:eastAsia="仿宋" w:cs="仿宋"/>
          <w:sz w:val="32"/>
          <w:szCs w:val="32"/>
        </w:rPr>
        <w:t>位于自然保护区、</w:t>
      </w:r>
      <w:r>
        <w:rPr>
          <w:rFonts w:hint="default" w:ascii="仿宋" w:hAnsi="仿宋" w:eastAsia="仿宋" w:cs="仿宋"/>
          <w:sz w:val="32"/>
          <w:szCs w:val="32"/>
          <w:lang w:eastAsia="zh-CN"/>
        </w:rPr>
        <w:t>湿地公园、</w:t>
      </w:r>
      <w:r>
        <w:rPr>
          <w:rFonts w:hint="default" w:ascii="仿宋" w:hAnsi="仿宋" w:eastAsia="仿宋" w:cs="仿宋"/>
          <w:sz w:val="32"/>
          <w:szCs w:val="32"/>
        </w:rPr>
        <w:t>景观道路沿线、江河沿线等重点地区的村庄，以及传统村落、历史特色村屯等特色保护类村庄，其建筑高度应根据保护专项规划或上位规划要求进行控制。</w:t>
      </w:r>
    </w:p>
    <w:p w14:paraId="4C8A9F5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（五）</w:t>
      </w:r>
      <w:r>
        <w:rPr>
          <w:rFonts w:hint="default" w:ascii="仿宋" w:hAnsi="仿宋" w:eastAsia="仿宋" w:cs="仿宋"/>
          <w:sz w:val="32"/>
          <w:szCs w:val="32"/>
        </w:rPr>
        <w:t>幼儿园建筑层数应≤3层，小学教学建筑层数应≤3层，初中教学建筑层数应≤4层。村级社区生活圈服务要素按《社区生活圈规划技术指南》相关要求执行，建筑高度一般不超过15米。乡村产业项目建筑高度参照表</w:t>
      </w:r>
      <w:r>
        <w:rPr>
          <w:rFonts w:hint="default" w:ascii="仿宋" w:hAnsi="仿宋" w:eastAsia="仿宋" w:cs="仿宋"/>
          <w:sz w:val="32"/>
          <w:szCs w:val="32"/>
          <w:lang w:val="en-US" w:eastAsia="zh-CN"/>
        </w:rPr>
        <w:t>2</w:t>
      </w:r>
      <w:r>
        <w:rPr>
          <w:rFonts w:hint="default" w:ascii="仿宋" w:hAnsi="仿宋" w:eastAsia="仿宋" w:cs="仿宋"/>
          <w:sz w:val="32"/>
          <w:szCs w:val="32"/>
        </w:rPr>
        <w:t>确定。</w:t>
      </w:r>
    </w:p>
    <w:p w14:paraId="7AB44EEE">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96" w:name="_Toc18354"/>
      <w:bookmarkStart w:id="97" w:name="_Toc5837"/>
      <w:r>
        <w:rPr>
          <w:rFonts w:hint="eastAsia" w:ascii="仿宋_GB2312" w:hAnsi="仿宋_GB2312" w:eastAsia="仿宋_GB2312" w:cs="仿宋_GB2312"/>
          <w:bCs/>
          <w:color w:val="auto"/>
          <w:szCs w:val="32"/>
        </w:rPr>
        <w:t>第1</w:t>
      </w:r>
      <w:r>
        <w:rPr>
          <w:rFonts w:hint="eastAsia" w:ascii="仿宋_GB2312" w:hAnsi="仿宋_GB2312" w:eastAsia="仿宋_GB2312" w:cs="仿宋_GB2312"/>
          <w:bCs/>
          <w:color w:val="auto"/>
          <w:szCs w:val="32"/>
          <w:lang w:val="en-US" w:eastAsia="zh-CN"/>
        </w:rPr>
        <w:t>8</w:t>
      </w:r>
      <w:r>
        <w:rPr>
          <w:rFonts w:hint="eastAsia" w:ascii="仿宋_GB2312" w:hAnsi="仿宋_GB2312" w:eastAsia="仿宋_GB2312" w:cs="仿宋_GB2312"/>
          <w:bCs/>
          <w:color w:val="auto"/>
          <w:szCs w:val="32"/>
        </w:rPr>
        <w:t>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建筑风貌控制</w:t>
      </w:r>
      <w:bookmarkEnd w:id="96"/>
      <w:bookmarkEnd w:id="97"/>
    </w:p>
    <w:p w14:paraId="754CEFE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rPr>
      </w:pPr>
      <w:bookmarkStart w:id="98" w:name="_bookmark15"/>
      <w:bookmarkEnd w:id="98"/>
      <w:bookmarkStart w:id="99" w:name="第三节_农房风貌控制"/>
      <w:bookmarkEnd w:id="99"/>
      <w:r>
        <w:rPr>
          <w:rFonts w:hint="eastAsia" w:ascii="仿宋" w:hAnsi="仿宋" w:eastAsia="仿宋" w:cs="仿宋"/>
          <w:sz w:val="32"/>
          <w:szCs w:val="32"/>
          <w:lang w:val="en-US" w:eastAsia="zh-CN"/>
        </w:rPr>
        <w:t>（一）</w:t>
      </w:r>
      <w:r>
        <w:rPr>
          <w:rFonts w:hint="eastAsia" w:ascii="仿宋" w:hAnsi="仿宋" w:eastAsia="仿宋" w:cs="仿宋"/>
          <w:sz w:val="32"/>
          <w:szCs w:val="32"/>
        </w:rPr>
        <w:t>乡村建筑应尊重周边环境和建筑现状，融合村庄整体风貌，有序构建院落、住宅空间，体现地方特色与多民族融合文化特色，按照《广西壮族自治区农村房屋特色风貌管控导则》</w:t>
      </w:r>
      <w:r>
        <w:rPr>
          <w:rFonts w:hint="eastAsia" w:ascii="仿宋" w:hAnsi="仿宋" w:cs="仿宋"/>
          <w:sz w:val="32"/>
          <w:szCs w:val="32"/>
          <w:lang w:eastAsia="zh-CN"/>
        </w:rPr>
        <w:t>，</w:t>
      </w:r>
      <w:r>
        <w:rPr>
          <w:rFonts w:hint="eastAsia" w:ascii="仿宋" w:hAnsi="仿宋" w:cs="仿宋"/>
          <w:szCs w:val="32"/>
        </w:rPr>
        <w:t>桂林市以及</w:t>
      </w:r>
      <w:r>
        <w:rPr>
          <w:rFonts w:hint="eastAsia" w:ascii="仿宋" w:hAnsi="仿宋" w:cs="仿宋"/>
          <w:szCs w:val="32"/>
          <w:lang w:val="en-US" w:eastAsia="zh-CN"/>
        </w:rPr>
        <w:t>荔浦市</w:t>
      </w:r>
      <w:r>
        <w:rPr>
          <w:rFonts w:hint="eastAsia" w:ascii="仿宋" w:hAnsi="仿宋" w:cs="仿宋"/>
          <w:szCs w:val="32"/>
        </w:rPr>
        <w:t>住建部门组织编制的农房建设通用图集和相关农房风貌管控文件的要求</w:t>
      </w:r>
      <w:r>
        <w:rPr>
          <w:rFonts w:hint="eastAsia" w:ascii="仿宋" w:hAnsi="仿宋" w:eastAsia="仿宋" w:cs="仿宋"/>
          <w:sz w:val="32"/>
          <w:szCs w:val="32"/>
        </w:rPr>
        <w:t>，严格实施带图报建和按图验收制度。</w:t>
      </w:r>
    </w:p>
    <w:p w14:paraId="5CA9A66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（二）</w:t>
      </w:r>
      <w:r>
        <w:rPr>
          <w:rFonts w:hint="default" w:ascii="仿宋" w:hAnsi="仿宋" w:eastAsia="仿宋" w:cs="仿宋"/>
          <w:sz w:val="32"/>
          <w:szCs w:val="32"/>
          <w:lang w:eastAsia="zh-CN"/>
        </w:rPr>
        <w:t>荔浦市</w:t>
      </w:r>
      <w:r>
        <w:rPr>
          <w:rFonts w:hint="default" w:ascii="仿宋" w:hAnsi="仿宋" w:eastAsia="仿宋" w:cs="仿宋"/>
          <w:sz w:val="32"/>
          <w:szCs w:val="32"/>
        </w:rPr>
        <w:t>总体呈现继承和发扬本地特色，体现荔浦市特色文化内涵，鼓励建筑色彩采用</w:t>
      </w:r>
      <w:r>
        <w:rPr>
          <w:rFonts w:hint="default" w:ascii="仿宋" w:hAnsi="仿宋" w:eastAsia="仿宋" w:cs="仿宋"/>
          <w:sz w:val="32"/>
          <w:szCs w:val="32"/>
          <w:lang w:eastAsia="zh-CN"/>
        </w:rPr>
        <w:t>米黄、</w:t>
      </w:r>
      <w:r>
        <w:rPr>
          <w:rFonts w:hint="default" w:ascii="仿宋" w:hAnsi="仿宋" w:eastAsia="仿宋" w:cs="仿宋"/>
          <w:sz w:val="32"/>
          <w:szCs w:val="32"/>
        </w:rPr>
        <w:t>米白或白色系建筑色彩，同一农村居民点的各户新建农房宜采用同种农房建设通用图集或建筑风格一致的房屋设计方案。</w:t>
      </w:r>
    </w:p>
    <w:p w14:paraId="53F7C0CF">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default" w:ascii="楷体" w:hAnsi="楷体" w:eastAsia="楷体" w:cs="楷体"/>
        </w:rPr>
      </w:pPr>
      <w:bookmarkStart w:id="100" w:name="_Toc24275"/>
      <w:bookmarkStart w:id="101" w:name="_Toc17039"/>
      <w:bookmarkStart w:id="102" w:name="_Toc8504"/>
      <w:bookmarkStart w:id="103" w:name="_Toc23795"/>
      <w:bookmarkStart w:id="104" w:name="_Toc32415"/>
      <w:bookmarkStart w:id="105" w:name="_Toc17532"/>
      <w:bookmarkStart w:id="106" w:name="_Toc3000"/>
      <w:r>
        <w:rPr>
          <w:rFonts w:hint="default" w:ascii="楷体" w:hAnsi="楷体" w:eastAsia="楷体" w:cs="楷体"/>
        </w:rPr>
        <w:t>第四节 其他管控指引</w:t>
      </w:r>
      <w:bookmarkEnd w:id="100"/>
      <w:bookmarkEnd w:id="101"/>
      <w:bookmarkEnd w:id="102"/>
      <w:bookmarkEnd w:id="103"/>
      <w:bookmarkEnd w:id="104"/>
      <w:bookmarkEnd w:id="105"/>
      <w:bookmarkEnd w:id="106"/>
    </w:p>
    <w:p w14:paraId="2EB59D3F">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07" w:name="_Toc26433"/>
      <w:bookmarkStart w:id="108" w:name="_Toc193377507"/>
      <w:r>
        <w:rPr>
          <w:rFonts w:hint="eastAsia" w:ascii="仿宋_GB2312" w:hAnsi="仿宋_GB2312" w:eastAsia="仿宋_GB2312" w:cs="仿宋_GB2312"/>
          <w:bCs/>
          <w:color w:val="auto"/>
          <w:szCs w:val="32"/>
        </w:rPr>
        <w:t>第19条 历史文化遗产保护管控</w:t>
      </w:r>
      <w:bookmarkEnd w:id="107"/>
      <w:bookmarkEnd w:id="108"/>
    </w:p>
    <w:p w14:paraId="0E5A68C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传统村落内的规划及建设应遵守《中华人民共和国文物保护法》及已批复的专项规划等要求，进行整体保护，保持传统格局、历史风貌和空间尺度。传统村落内禁止进行开山、采石、开矿等破坏传统格局和历史风貌的活动；禁止占用保护规划确定保留的园林绿地、河湖水系、道路等；禁止修建生产、储存爆炸性、易燃性、放射性、毒害性、腐蚀性物品的工厂、仓库等设施。</w:t>
      </w:r>
    </w:p>
    <w:p w14:paraId="64461E9F">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09" w:name="_Toc193377508"/>
      <w:bookmarkStart w:id="110" w:name="_Toc10132"/>
      <w:r>
        <w:rPr>
          <w:rFonts w:hint="eastAsia" w:ascii="仿宋_GB2312" w:hAnsi="仿宋_GB2312" w:eastAsia="仿宋_GB2312" w:cs="仿宋_GB2312"/>
          <w:bCs/>
          <w:color w:val="auto"/>
          <w:szCs w:val="32"/>
        </w:rPr>
        <w:t>第20条 乡村生态保护修复及国土空间整治管控</w:t>
      </w:r>
      <w:bookmarkEnd w:id="109"/>
      <w:bookmarkEnd w:id="110"/>
    </w:p>
    <w:p w14:paraId="441E702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严格落实耕地保护目标，优化耕地布局，强化耕地资源管控，确保耕地数量不减少、质量不降低。实施土地综合整治项目，优化耕地质量，调整农业产业布局，促进乡村振兴。</w:t>
      </w:r>
    </w:p>
    <w:p w14:paraId="51F81B1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开展矿山地质环境恢复治理，推进土地整理、开发与复垦。推进生态修复和环境污染治理，实施建设用地整治，统筹农村居民点建设、产业发展、公共服务、基础设施等用地，支持农村新产业新业态融合发展。落实耕地占补平衡工作，确保重大项目建设用地指标。</w:t>
      </w:r>
    </w:p>
    <w:p w14:paraId="323E9A48">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val="0"/>
          <w:bCs w:val="0"/>
          <w:sz w:val="44"/>
          <w:lang w:val="en-US" w:eastAsia="zh-CN"/>
        </w:rPr>
      </w:pPr>
      <w:bookmarkStart w:id="111" w:name="_Toc11907"/>
      <w:bookmarkStart w:id="112" w:name="_Toc20626"/>
      <w:bookmarkStart w:id="113" w:name="_Toc8132"/>
      <w:bookmarkStart w:id="114" w:name="_Toc24271"/>
      <w:bookmarkStart w:id="115" w:name="_Toc19600"/>
      <w:bookmarkStart w:id="116" w:name="_Toc23742"/>
      <w:r>
        <w:rPr>
          <w:rFonts w:hint="eastAsia" w:ascii="黑体" w:hAnsi="黑体" w:eastAsia="黑体" w:cs="黑体"/>
          <w:b w:val="0"/>
          <w:bCs w:val="0"/>
          <w:sz w:val="44"/>
          <w:lang w:val="en-US" w:eastAsia="zh-CN"/>
        </w:rPr>
        <w:t>第四章 重点地块图则</w:t>
      </w:r>
      <w:bookmarkEnd w:id="111"/>
      <w:bookmarkEnd w:id="112"/>
      <w:bookmarkEnd w:id="113"/>
      <w:bookmarkEnd w:id="114"/>
      <w:bookmarkEnd w:id="115"/>
      <w:bookmarkEnd w:id="116"/>
    </w:p>
    <w:p w14:paraId="245F474F">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17" w:name="第19条 图则管控"/>
      <w:bookmarkEnd w:id="117"/>
      <w:bookmarkStart w:id="118" w:name="_Toc932"/>
      <w:bookmarkStart w:id="119" w:name="_Toc16255"/>
      <w:bookmarkStart w:id="120" w:name="_Toc16553"/>
      <w:r>
        <w:rPr>
          <w:rFonts w:hint="eastAsia" w:ascii="仿宋_GB2312" w:hAnsi="仿宋_GB2312" w:eastAsia="仿宋_GB2312" w:cs="仿宋_GB2312"/>
          <w:bCs/>
          <w:color w:val="auto"/>
          <w:szCs w:val="32"/>
        </w:rPr>
        <w:t>第</w:t>
      </w:r>
      <w:r>
        <w:rPr>
          <w:rFonts w:hint="eastAsia" w:ascii="仿宋_GB2312" w:hAnsi="仿宋_GB2312" w:eastAsia="仿宋_GB2312" w:cs="仿宋_GB2312"/>
          <w:bCs/>
          <w:color w:val="auto"/>
          <w:szCs w:val="32"/>
          <w:lang w:val="en-US" w:eastAsia="zh-CN"/>
        </w:rPr>
        <w:t>21</w:t>
      </w:r>
      <w:r>
        <w:rPr>
          <w:rFonts w:hint="eastAsia" w:ascii="仿宋_GB2312" w:hAnsi="仿宋_GB2312" w:eastAsia="仿宋_GB2312" w:cs="仿宋_GB2312"/>
          <w:bCs/>
          <w:color w:val="auto"/>
          <w:szCs w:val="32"/>
        </w:rPr>
        <w:t>条 图则管控</w:t>
      </w:r>
      <w:bookmarkEnd w:id="118"/>
      <w:bookmarkEnd w:id="119"/>
      <w:bookmarkEnd w:id="120"/>
    </w:p>
    <w:p w14:paraId="0BE60B5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规划图则所设置的管控要求应在符合相关技术规范和标准的前提下，因地制宜，与村庄风貌及周边环境相协调。经审定的规划图则，是规划管理和行政许可的依据，应按相关数据标准形成矢量数据。其中，村庄改造项目中现状合法建筑的容积率、建筑密度等指标无法达到现行标准和规范时，应在充分征求相关主管部门和规划范围内利害关系人意见的前提下，按照正向优化原则，可在图则中对建筑间距、建筑退距、建筑面宽、建筑密度、日照标准、绿地率、机动车停车位等规划指标进行优化，允许通过技术措施以不低于现状条件为底线进行调整。</w:t>
      </w:r>
    </w:p>
    <w:p w14:paraId="2DD36F4D">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21" w:name="第20条 制图要求"/>
      <w:bookmarkEnd w:id="121"/>
      <w:bookmarkStart w:id="122" w:name="_Toc12847"/>
      <w:bookmarkStart w:id="123" w:name="_Toc29797"/>
      <w:bookmarkStart w:id="124" w:name="_Toc27145"/>
      <w:r>
        <w:rPr>
          <w:rFonts w:hint="eastAsia" w:ascii="仿宋_GB2312" w:hAnsi="仿宋_GB2312" w:eastAsia="仿宋_GB2312" w:cs="仿宋_GB2312"/>
          <w:bCs/>
          <w:color w:val="auto"/>
          <w:szCs w:val="32"/>
        </w:rPr>
        <w:t>第</w:t>
      </w:r>
      <w:r>
        <w:rPr>
          <w:rFonts w:hint="eastAsia" w:ascii="仿宋_GB2312" w:hAnsi="仿宋_GB2312" w:eastAsia="仿宋_GB2312" w:cs="仿宋_GB2312"/>
          <w:bCs/>
          <w:color w:val="auto"/>
          <w:szCs w:val="32"/>
          <w:lang w:val="en-US" w:eastAsia="zh-CN"/>
        </w:rPr>
        <w:t>22</w:t>
      </w:r>
      <w:r>
        <w:rPr>
          <w:rFonts w:hint="eastAsia" w:ascii="仿宋_GB2312" w:hAnsi="仿宋_GB2312" w:eastAsia="仿宋_GB2312" w:cs="仿宋_GB2312"/>
          <w:bCs/>
          <w:color w:val="auto"/>
          <w:szCs w:val="32"/>
        </w:rPr>
        <w:t>条 制图要求</w:t>
      </w:r>
      <w:bookmarkEnd w:id="122"/>
      <w:bookmarkEnd w:id="123"/>
      <w:bookmarkEnd w:id="124"/>
    </w:p>
    <w:p w14:paraId="4A94176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重点地块图则应表达项目的地块位置、用地面积、用地性质、容积率、建筑高度、建筑密度、绿地率、出入口方位、停车场泊位、建筑退让及其他需要配置的基础设施和公共设施控制指标等内容，可包括建筑形式与风格、历史文化保护和环境保护要求等引导性内容。</w:t>
      </w:r>
    </w:p>
    <w:p w14:paraId="33F981BB">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25" w:name="第21条 程序要求"/>
      <w:bookmarkEnd w:id="125"/>
      <w:bookmarkStart w:id="126" w:name="_Toc15772"/>
      <w:bookmarkStart w:id="127" w:name="_Toc27944"/>
      <w:bookmarkStart w:id="128" w:name="_Toc31176"/>
      <w:r>
        <w:rPr>
          <w:rFonts w:hint="eastAsia" w:ascii="仿宋_GB2312" w:hAnsi="仿宋_GB2312" w:eastAsia="仿宋_GB2312" w:cs="仿宋_GB2312"/>
          <w:bCs/>
          <w:color w:val="auto"/>
          <w:szCs w:val="32"/>
        </w:rPr>
        <w:t>第</w:t>
      </w:r>
      <w:r>
        <w:rPr>
          <w:rFonts w:hint="eastAsia" w:ascii="仿宋_GB2312" w:hAnsi="仿宋_GB2312" w:eastAsia="仿宋_GB2312" w:cs="仿宋_GB2312"/>
          <w:bCs/>
          <w:color w:val="auto"/>
          <w:szCs w:val="32"/>
          <w:lang w:val="en-US" w:eastAsia="zh-CN"/>
        </w:rPr>
        <w:t>23</w:t>
      </w:r>
      <w:r>
        <w:rPr>
          <w:rFonts w:hint="eastAsia" w:ascii="仿宋_GB2312" w:hAnsi="仿宋_GB2312" w:eastAsia="仿宋_GB2312" w:cs="仿宋_GB2312"/>
          <w:bCs/>
          <w:color w:val="auto"/>
          <w:szCs w:val="32"/>
        </w:rPr>
        <w:t>条 程序要求</w:t>
      </w:r>
      <w:bookmarkEnd w:id="126"/>
      <w:bookmarkEnd w:id="127"/>
      <w:bookmarkEnd w:id="128"/>
    </w:p>
    <w:p w14:paraId="77181E0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重点地块图则由乡镇人民政府组织编制，由荔浦市自然资源</w:t>
      </w:r>
      <w:r>
        <w:rPr>
          <w:rFonts w:hint="eastAsia" w:ascii="仿宋" w:hAnsi="仿宋" w:cs="仿宋"/>
          <w:sz w:val="32"/>
          <w:szCs w:val="32"/>
          <w:lang w:val="en-US" w:eastAsia="zh-CN"/>
        </w:rPr>
        <w:t>局</w:t>
      </w:r>
      <w:r>
        <w:rPr>
          <w:rFonts w:hint="default" w:ascii="仿宋" w:hAnsi="仿宋" w:eastAsia="仿宋" w:cs="仿宋"/>
          <w:sz w:val="32"/>
          <w:szCs w:val="32"/>
          <w:lang w:val="en-US" w:eastAsia="zh-CN"/>
        </w:rPr>
        <w:t>组织技术审查和论证，由乡镇人民政府组织村（居）民委员会、村（居）民会议或村（居）民代表会议讨论通过，并在村（居）委会内公示栏或乡镇人民政府官方网站公示，公示时间不得少于7日。公示期满无异议后，报荔浦市人民政府批准，经荔浦市自然资源主管部门备案后施行。</w:t>
      </w:r>
    </w:p>
    <w:p w14:paraId="57A2F5FB">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val="0"/>
          <w:bCs w:val="0"/>
          <w:sz w:val="44"/>
          <w:lang w:val="en-US" w:eastAsia="zh-CN"/>
        </w:rPr>
      </w:pPr>
      <w:bookmarkStart w:id="129" w:name="_Toc15405"/>
      <w:bookmarkStart w:id="130" w:name="_Toc18871"/>
      <w:bookmarkStart w:id="131" w:name="_Toc3495"/>
      <w:bookmarkStart w:id="132" w:name="_Toc11958"/>
      <w:bookmarkStart w:id="133" w:name="_Toc17297"/>
      <w:bookmarkStart w:id="134" w:name="_Toc18180"/>
      <w:bookmarkStart w:id="135" w:name="_Toc25113"/>
      <w:bookmarkStart w:id="136" w:name="_Toc1858"/>
      <w:bookmarkStart w:id="137" w:name="_Toc9060"/>
      <w:bookmarkStart w:id="138" w:name="_Toc32529"/>
      <w:bookmarkStart w:id="139" w:name="_Toc13205"/>
      <w:r>
        <w:rPr>
          <w:rFonts w:hint="eastAsia" w:ascii="黑体" w:hAnsi="黑体" w:eastAsia="黑体" w:cs="黑体"/>
          <w:b w:val="0"/>
          <w:bCs w:val="0"/>
          <w:sz w:val="44"/>
          <w:lang w:val="en-US" w:eastAsia="zh-CN"/>
        </w:rPr>
        <w:t>第五章 实施管理</w:t>
      </w:r>
      <w:bookmarkEnd w:id="129"/>
      <w:bookmarkEnd w:id="130"/>
      <w:bookmarkEnd w:id="131"/>
      <w:bookmarkEnd w:id="132"/>
      <w:bookmarkEnd w:id="133"/>
      <w:bookmarkEnd w:id="134"/>
      <w:bookmarkEnd w:id="135"/>
      <w:bookmarkEnd w:id="136"/>
      <w:bookmarkEnd w:id="137"/>
      <w:bookmarkEnd w:id="138"/>
      <w:bookmarkEnd w:id="139"/>
    </w:p>
    <w:p w14:paraId="700A7434">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40" w:name="_Toc8630"/>
      <w:bookmarkStart w:id="141" w:name="_Toc12438"/>
      <w:bookmarkStart w:id="142" w:name="_Toc18640"/>
      <w:r>
        <w:rPr>
          <w:rFonts w:hint="eastAsia" w:ascii="仿宋_GB2312" w:hAnsi="仿宋_GB2312" w:eastAsia="仿宋_GB2312" w:cs="仿宋_GB2312"/>
          <w:bCs/>
          <w:color w:val="auto"/>
          <w:szCs w:val="32"/>
        </w:rPr>
        <w:t>第2</w:t>
      </w:r>
      <w:r>
        <w:rPr>
          <w:rFonts w:hint="eastAsia" w:ascii="仿宋_GB2312" w:hAnsi="仿宋_GB2312" w:eastAsia="仿宋_GB2312" w:cs="仿宋_GB2312"/>
          <w:bCs/>
          <w:color w:val="auto"/>
          <w:szCs w:val="32"/>
          <w:lang w:val="en-US" w:eastAsia="zh-CN"/>
        </w:rPr>
        <w:t>4</w:t>
      </w:r>
      <w:r>
        <w:rPr>
          <w:rFonts w:hint="eastAsia" w:ascii="仿宋_GB2312" w:hAnsi="仿宋_GB2312" w:eastAsia="仿宋_GB2312" w:cs="仿宋_GB2312"/>
          <w:bCs/>
          <w:color w:val="auto"/>
          <w:szCs w:val="32"/>
        </w:rPr>
        <w:t>条 加强实施监督</w:t>
      </w:r>
      <w:bookmarkEnd w:id="140"/>
      <w:bookmarkEnd w:id="141"/>
      <w:bookmarkEnd w:id="142"/>
    </w:p>
    <w:p w14:paraId="2B14509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本</w:t>
      </w:r>
      <w:r>
        <w:rPr>
          <w:rFonts w:hint="default" w:ascii="仿宋" w:hAnsi="仿宋" w:eastAsia="仿宋" w:cs="仿宋"/>
          <w:sz w:val="32"/>
          <w:szCs w:val="32"/>
          <w:lang w:val="en-US" w:eastAsia="zh-CN"/>
        </w:rPr>
        <w:t>规定</w:t>
      </w:r>
      <w:r>
        <w:rPr>
          <w:rFonts w:hint="default" w:ascii="仿宋" w:hAnsi="仿宋" w:eastAsia="仿宋" w:cs="仿宋"/>
          <w:sz w:val="32"/>
          <w:szCs w:val="32"/>
        </w:rPr>
        <w:t>将保持动态完善，及时总结实践经验，适时进行修订更新，以确保其始终具备高度的针对性和可操作性，为</w:t>
      </w:r>
      <w:r>
        <w:rPr>
          <w:rFonts w:hint="default" w:ascii="仿宋" w:hAnsi="仿宋" w:eastAsia="仿宋" w:cs="仿宋"/>
          <w:sz w:val="32"/>
          <w:szCs w:val="32"/>
          <w:lang w:eastAsia="zh-CN"/>
        </w:rPr>
        <w:t>荔浦市</w:t>
      </w:r>
      <w:r>
        <w:rPr>
          <w:rFonts w:hint="default" w:ascii="仿宋" w:hAnsi="仿宋" w:eastAsia="仿宋" w:cs="仿宋"/>
          <w:sz w:val="32"/>
          <w:szCs w:val="32"/>
        </w:rPr>
        <w:t>乡村建设规划管理工作提供更为精准有效的服务。</w:t>
      </w:r>
    </w:p>
    <w:p w14:paraId="6679FF4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本规定印发实施后需修改的，由原组织编制机关按照程序进行修改，并报原审批机关审批。</w:t>
      </w:r>
    </w:p>
    <w:p w14:paraId="4029FF9B">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val="0"/>
          <w:bCs w:val="0"/>
          <w:sz w:val="44"/>
          <w:lang w:val="en-US" w:eastAsia="zh-CN"/>
        </w:rPr>
      </w:pPr>
      <w:bookmarkStart w:id="143" w:name="_Toc9890"/>
      <w:bookmarkStart w:id="144" w:name="_Toc16126"/>
      <w:bookmarkStart w:id="145" w:name="_Toc31726"/>
      <w:bookmarkStart w:id="146" w:name="_Toc23706"/>
      <w:r>
        <w:rPr>
          <w:rFonts w:hint="eastAsia" w:ascii="黑体" w:hAnsi="黑体" w:eastAsia="黑体" w:cs="黑体"/>
          <w:b w:val="0"/>
          <w:bCs w:val="0"/>
          <w:sz w:val="44"/>
          <w:lang w:val="en-US" w:eastAsia="zh-CN"/>
        </w:rPr>
        <w:t>第六章 附则</w:t>
      </w:r>
      <w:bookmarkEnd w:id="143"/>
      <w:bookmarkEnd w:id="144"/>
      <w:bookmarkEnd w:id="145"/>
      <w:bookmarkEnd w:id="146"/>
    </w:p>
    <w:p w14:paraId="4DA8CB5A">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default" w:ascii="仿宋" w:hAnsi="仿宋" w:eastAsia="仿宋" w:cs="仿宋"/>
          <w:sz w:val="32"/>
          <w:szCs w:val="32"/>
          <w:lang w:eastAsia="zh-CN"/>
        </w:rPr>
      </w:pPr>
      <w:bookmarkStart w:id="147" w:name="_Toc5664"/>
      <w:bookmarkStart w:id="148" w:name="_Toc20836"/>
      <w:r>
        <w:rPr>
          <w:rFonts w:hint="eastAsia" w:ascii="仿宋_GB2312" w:hAnsi="仿宋_GB2312" w:eastAsia="仿宋_GB2312" w:cs="仿宋_GB2312"/>
          <w:b/>
          <w:bCs/>
          <w:color w:val="auto"/>
          <w:kern w:val="2"/>
          <w:sz w:val="32"/>
          <w:szCs w:val="32"/>
          <w:lang w:val="en-US" w:eastAsia="zh-CN" w:bidi="ar-SA"/>
        </w:rPr>
        <w:t xml:space="preserve">第25条 </w:t>
      </w:r>
      <w:r>
        <w:rPr>
          <w:rFonts w:hint="default" w:ascii="仿宋" w:hAnsi="仿宋" w:eastAsia="仿宋" w:cs="仿宋"/>
          <w:sz w:val="32"/>
          <w:szCs w:val="32"/>
        </w:rPr>
        <w:t>本规定中涉及农村宅基地合理布局、用地标准等内容的由农业农村主管部门负责解释</w:t>
      </w:r>
      <w:r>
        <w:rPr>
          <w:rFonts w:hint="default" w:ascii="仿宋" w:hAnsi="仿宋" w:eastAsia="仿宋" w:cs="仿宋"/>
          <w:sz w:val="32"/>
          <w:szCs w:val="32"/>
          <w:lang w:eastAsia="zh-CN"/>
        </w:rPr>
        <w:t>；</w:t>
      </w:r>
      <w:r>
        <w:rPr>
          <w:rFonts w:hint="default" w:ascii="仿宋" w:hAnsi="仿宋" w:eastAsia="仿宋" w:cs="仿宋"/>
          <w:sz w:val="32"/>
          <w:szCs w:val="32"/>
        </w:rPr>
        <w:t>涉及国土空间规划</w:t>
      </w:r>
      <w:r>
        <w:rPr>
          <w:rFonts w:hint="default" w:ascii="仿宋" w:hAnsi="仿宋" w:eastAsia="仿宋" w:cs="仿宋"/>
          <w:sz w:val="32"/>
          <w:szCs w:val="32"/>
          <w:lang w:eastAsia="zh-CN"/>
        </w:rPr>
        <w:t>（</w:t>
      </w:r>
      <w:r>
        <w:rPr>
          <w:rFonts w:hint="default" w:ascii="仿宋" w:hAnsi="仿宋" w:eastAsia="仿宋" w:cs="仿宋"/>
          <w:sz w:val="32"/>
          <w:szCs w:val="32"/>
        </w:rPr>
        <w:t>含村庄规划</w:t>
      </w:r>
      <w:r>
        <w:rPr>
          <w:rFonts w:hint="default" w:ascii="仿宋" w:hAnsi="仿宋" w:eastAsia="仿宋" w:cs="仿宋"/>
          <w:sz w:val="32"/>
          <w:szCs w:val="32"/>
          <w:lang w:eastAsia="zh-CN"/>
        </w:rPr>
        <w:t>）</w:t>
      </w:r>
      <w:r>
        <w:rPr>
          <w:rFonts w:hint="default" w:ascii="仿宋" w:hAnsi="仿宋" w:eastAsia="仿宋" w:cs="仿宋"/>
          <w:sz w:val="32"/>
          <w:szCs w:val="32"/>
        </w:rPr>
        <w:t>编制、乡村建设规划许可等内容的由自然资源主管部门负责解释</w:t>
      </w:r>
      <w:r>
        <w:rPr>
          <w:rFonts w:hint="default" w:ascii="仿宋" w:hAnsi="仿宋" w:eastAsia="仿宋" w:cs="仿宋"/>
          <w:sz w:val="32"/>
          <w:szCs w:val="32"/>
          <w:lang w:eastAsia="zh-CN"/>
        </w:rPr>
        <w:t>；</w:t>
      </w:r>
      <w:r>
        <w:rPr>
          <w:rFonts w:hint="default" w:ascii="仿宋" w:hAnsi="仿宋" w:eastAsia="仿宋" w:cs="仿宋"/>
          <w:sz w:val="32"/>
          <w:szCs w:val="32"/>
        </w:rPr>
        <w:t>涉及农房设计图集编制、建筑风貌管控等内容的由住房城乡建设主管部门负责解释</w:t>
      </w:r>
      <w:r>
        <w:rPr>
          <w:rFonts w:hint="default" w:ascii="仿宋" w:hAnsi="仿宋" w:eastAsia="仿宋" w:cs="仿宋"/>
          <w:sz w:val="32"/>
          <w:szCs w:val="32"/>
          <w:lang w:eastAsia="zh-CN"/>
        </w:rPr>
        <w:t>。</w:t>
      </w:r>
    </w:p>
    <w:p w14:paraId="3828E0F6">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default" w:ascii="仿宋" w:hAnsi="仿宋" w:eastAsia="仿宋" w:cs="仿宋"/>
          <w:sz w:val="32"/>
          <w:szCs w:val="32"/>
        </w:rPr>
      </w:pPr>
      <w:r>
        <w:rPr>
          <w:rFonts w:hint="eastAsia" w:ascii="仿宋_GB2312" w:hAnsi="仿宋_GB2312" w:eastAsia="仿宋_GB2312" w:cs="仿宋_GB2312"/>
          <w:b/>
          <w:bCs/>
          <w:color w:val="auto"/>
          <w:kern w:val="2"/>
          <w:sz w:val="32"/>
          <w:szCs w:val="32"/>
          <w:lang w:val="en-US" w:eastAsia="zh-CN" w:bidi="ar-SA"/>
        </w:rPr>
        <w:t xml:space="preserve">第26条 </w:t>
      </w:r>
      <w:r>
        <w:rPr>
          <w:rFonts w:hint="default" w:ascii="仿宋" w:hAnsi="仿宋" w:eastAsia="仿宋" w:cs="仿宋"/>
          <w:sz w:val="32"/>
          <w:szCs w:val="32"/>
        </w:rPr>
        <w:t>本规定自印发之日起正式施行，有效期</w:t>
      </w:r>
      <w:r>
        <w:rPr>
          <w:rFonts w:hint="eastAsia" w:ascii="仿宋" w:hAnsi="仿宋" w:eastAsia="仿宋" w:cs="仿宋"/>
          <w:sz w:val="32"/>
          <w:szCs w:val="32"/>
          <w:lang w:eastAsia="zh-CN"/>
        </w:rPr>
        <w:t>至</w:t>
      </w:r>
      <w:r>
        <w:rPr>
          <w:rFonts w:hint="eastAsia" w:ascii="仿宋" w:hAnsi="仿宋" w:eastAsia="仿宋" w:cs="仿宋"/>
          <w:sz w:val="32"/>
          <w:szCs w:val="32"/>
          <w:lang w:val="en-US" w:eastAsia="zh-CN"/>
        </w:rPr>
        <w:t>2035年12月31日</w:t>
      </w:r>
      <w:r>
        <w:rPr>
          <w:rFonts w:hint="default" w:ascii="仿宋" w:hAnsi="仿宋" w:eastAsia="仿宋" w:cs="仿宋"/>
          <w:sz w:val="32"/>
          <w:szCs w:val="32"/>
        </w:rPr>
        <w:t>。</w:t>
      </w:r>
    </w:p>
    <w:p w14:paraId="6C29A88D">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default" w:ascii="仿宋" w:hAnsi="仿宋" w:eastAsia="仿宋" w:cs="仿宋"/>
          <w:sz w:val="32"/>
          <w:szCs w:val="32"/>
        </w:rPr>
      </w:pPr>
      <w:r>
        <w:rPr>
          <w:rFonts w:hint="eastAsia" w:ascii="仿宋_GB2312" w:hAnsi="仿宋_GB2312" w:eastAsia="仿宋_GB2312" w:cs="仿宋_GB2312"/>
          <w:b/>
          <w:bCs/>
          <w:color w:val="auto"/>
          <w:kern w:val="2"/>
          <w:sz w:val="32"/>
          <w:szCs w:val="32"/>
          <w:lang w:val="en-US" w:eastAsia="zh-CN" w:bidi="ar-SA"/>
        </w:rPr>
        <w:t xml:space="preserve">第27条 </w:t>
      </w:r>
      <w:r>
        <w:rPr>
          <w:rFonts w:hint="default" w:ascii="仿宋" w:hAnsi="仿宋" w:eastAsia="仿宋" w:cs="仿宋"/>
          <w:sz w:val="32"/>
          <w:szCs w:val="32"/>
        </w:rPr>
        <w:t>本规定如与法律法规以及相关政策文件相冲突，或本规定未提及的内容，需遵照国家、自治区及桂林市相关法律规范执行。本规定如与上级文件相冲突的，按上级文件执行。</w:t>
      </w:r>
    </w:p>
    <w:p w14:paraId="30D0883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_GB2312" w:hAnsi="仿宋_GB2312" w:eastAsia="仿宋_GB2312" w:cs="仿宋_GB2312"/>
          <w:b/>
          <w:bCs/>
          <w:color w:val="auto"/>
          <w:kern w:val="2"/>
          <w:sz w:val="32"/>
          <w:szCs w:val="32"/>
          <w:lang w:val="en-US" w:eastAsia="zh-CN" w:bidi="ar-SA"/>
        </w:rPr>
        <w:t xml:space="preserve">第28条 </w:t>
      </w:r>
      <w:r>
        <w:rPr>
          <w:rFonts w:hint="default" w:ascii="仿宋" w:hAnsi="仿宋" w:eastAsia="仿宋" w:cs="仿宋"/>
          <w:sz w:val="32"/>
          <w:szCs w:val="32"/>
        </w:rPr>
        <w:t>本规定有关用语</w:t>
      </w:r>
    </w:p>
    <w:p w14:paraId="63C0DA8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default" w:ascii="仿宋" w:hAnsi="仿宋" w:eastAsia="仿宋" w:cs="仿宋"/>
          <w:sz w:val="32"/>
          <w:szCs w:val="32"/>
        </w:rPr>
        <w:t>在执行本规定条文时，对要求严格程度不同的用词说明如下</w:t>
      </w:r>
      <w:r>
        <w:rPr>
          <w:rFonts w:hint="default" w:ascii="仿宋" w:hAnsi="仿宋" w:eastAsia="仿宋" w:cs="仿宋"/>
          <w:sz w:val="32"/>
          <w:szCs w:val="32"/>
          <w:lang w:eastAsia="zh-CN"/>
        </w:rPr>
        <w:t>：</w:t>
      </w:r>
    </w:p>
    <w:p w14:paraId="0672B3D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（一）</w:t>
      </w:r>
      <w:r>
        <w:rPr>
          <w:rFonts w:hint="default" w:ascii="仿宋" w:hAnsi="仿宋" w:eastAsia="仿宋" w:cs="仿宋"/>
          <w:sz w:val="32"/>
          <w:szCs w:val="32"/>
        </w:rPr>
        <w:t>表示很严格，非这样做不可的用词</w:t>
      </w:r>
      <w:r>
        <w:rPr>
          <w:rFonts w:hint="default" w:ascii="仿宋" w:hAnsi="仿宋" w:eastAsia="仿宋" w:cs="仿宋"/>
          <w:sz w:val="32"/>
          <w:szCs w:val="32"/>
          <w:lang w:eastAsia="zh-CN"/>
        </w:rPr>
        <w:t>：</w:t>
      </w:r>
      <w:r>
        <w:rPr>
          <w:rFonts w:hint="default" w:ascii="仿宋" w:hAnsi="仿宋" w:eastAsia="仿宋" w:cs="仿宋"/>
          <w:sz w:val="32"/>
          <w:szCs w:val="32"/>
        </w:rPr>
        <w:t>正面词采用</w:t>
      </w:r>
      <w:r>
        <w:rPr>
          <w:rFonts w:hint="default" w:ascii="仿宋" w:hAnsi="仿宋" w:eastAsia="仿宋" w:cs="仿宋"/>
          <w:sz w:val="32"/>
          <w:szCs w:val="32"/>
          <w:lang w:eastAsia="zh-CN"/>
        </w:rPr>
        <w:t>“</w:t>
      </w:r>
      <w:r>
        <w:rPr>
          <w:rFonts w:hint="default" w:ascii="仿宋" w:hAnsi="仿宋" w:eastAsia="仿宋" w:cs="仿宋"/>
          <w:sz w:val="32"/>
          <w:szCs w:val="32"/>
        </w:rPr>
        <w:t>必须</w:t>
      </w:r>
      <w:r>
        <w:rPr>
          <w:rFonts w:hint="default" w:ascii="仿宋" w:hAnsi="仿宋" w:eastAsia="仿宋" w:cs="仿宋"/>
          <w:sz w:val="32"/>
          <w:szCs w:val="32"/>
          <w:lang w:eastAsia="zh-CN"/>
        </w:rPr>
        <w:t>”</w:t>
      </w:r>
      <w:r>
        <w:rPr>
          <w:rFonts w:hint="default" w:ascii="仿宋" w:hAnsi="仿宋" w:eastAsia="仿宋" w:cs="仿宋"/>
          <w:sz w:val="32"/>
          <w:szCs w:val="32"/>
        </w:rPr>
        <w:t>，反面词采用</w:t>
      </w:r>
      <w:r>
        <w:rPr>
          <w:rFonts w:hint="default" w:ascii="仿宋" w:hAnsi="仿宋" w:eastAsia="仿宋" w:cs="仿宋"/>
          <w:sz w:val="32"/>
          <w:szCs w:val="32"/>
          <w:lang w:eastAsia="zh-CN"/>
        </w:rPr>
        <w:t>“</w:t>
      </w:r>
      <w:r>
        <w:rPr>
          <w:rFonts w:hint="default" w:ascii="仿宋" w:hAnsi="仿宋" w:eastAsia="仿宋" w:cs="仿宋"/>
          <w:sz w:val="32"/>
          <w:szCs w:val="32"/>
        </w:rPr>
        <w:t>严禁</w:t>
      </w:r>
      <w:r>
        <w:rPr>
          <w:rFonts w:hint="default" w:ascii="仿宋" w:hAnsi="仿宋" w:eastAsia="仿宋" w:cs="仿宋"/>
          <w:sz w:val="32"/>
          <w:szCs w:val="32"/>
          <w:lang w:eastAsia="zh-CN"/>
        </w:rPr>
        <w:t>”。</w:t>
      </w:r>
    </w:p>
    <w:p w14:paraId="1371F98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（二）</w:t>
      </w:r>
      <w:r>
        <w:rPr>
          <w:rFonts w:hint="default" w:ascii="仿宋" w:hAnsi="仿宋" w:eastAsia="仿宋" w:cs="仿宋"/>
          <w:sz w:val="32"/>
          <w:szCs w:val="32"/>
        </w:rPr>
        <w:t>表示严格，在正常情况均应这样做的用词</w:t>
      </w:r>
      <w:r>
        <w:rPr>
          <w:rFonts w:hint="default" w:ascii="仿宋" w:hAnsi="仿宋" w:eastAsia="仿宋" w:cs="仿宋"/>
          <w:sz w:val="32"/>
          <w:szCs w:val="32"/>
          <w:lang w:eastAsia="zh-CN"/>
        </w:rPr>
        <w:t>：</w:t>
      </w:r>
      <w:r>
        <w:rPr>
          <w:rFonts w:hint="default" w:ascii="仿宋" w:hAnsi="仿宋" w:eastAsia="仿宋" w:cs="仿宋"/>
          <w:sz w:val="32"/>
          <w:szCs w:val="32"/>
        </w:rPr>
        <w:t>正面词采用</w:t>
      </w:r>
      <w:r>
        <w:rPr>
          <w:rFonts w:hint="default" w:ascii="仿宋" w:hAnsi="仿宋" w:eastAsia="仿宋" w:cs="仿宋"/>
          <w:sz w:val="32"/>
          <w:szCs w:val="32"/>
          <w:lang w:eastAsia="zh-CN"/>
        </w:rPr>
        <w:t>“</w:t>
      </w:r>
      <w:r>
        <w:rPr>
          <w:rFonts w:hint="default" w:ascii="仿宋" w:hAnsi="仿宋" w:eastAsia="仿宋" w:cs="仿宋"/>
          <w:sz w:val="32"/>
          <w:szCs w:val="32"/>
        </w:rPr>
        <w:t>应</w:t>
      </w:r>
      <w:r>
        <w:rPr>
          <w:rFonts w:hint="default" w:ascii="仿宋" w:hAnsi="仿宋" w:eastAsia="仿宋" w:cs="仿宋"/>
          <w:sz w:val="32"/>
          <w:szCs w:val="32"/>
          <w:lang w:eastAsia="zh-CN"/>
        </w:rPr>
        <w:t>”</w:t>
      </w:r>
      <w:r>
        <w:rPr>
          <w:rFonts w:hint="default" w:ascii="仿宋" w:hAnsi="仿宋" w:eastAsia="仿宋" w:cs="仿宋"/>
          <w:sz w:val="32"/>
          <w:szCs w:val="32"/>
        </w:rPr>
        <w:t>，反面词采用</w:t>
      </w:r>
      <w:r>
        <w:rPr>
          <w:rFonts w:hint="default" w:ascii="仿宋" w:hAnsi="仿宋" w:eastAsia="仿宋" w:cs="仿宋"/>
          <w:sz w:val="32"/>
          <w:szCs w:val="32"/>
          <w:lang w:eastAsia="zh-CN"/>
        </w:rPr>
        <w:t>“</w:t>
      </w:r>
      <w:r>
        <w:rPr>
          <w:rFonts w:hint="default" w:ascii="仿宋" w:hAnsi="仿宋" w:eastAsia="仿宋" w:cs="仿宋"/>
          <w:sz w:val="32"/>
          <w:szCs w:val="32"/>
        </w:rPr>
        <w:t>不应</w:t>
      </w:r>
      <w:r>
        <w:rPr>
          <w:rFonts w:hint="default" w:ascii="仿宋" w:hAnsi="仿宋" w:eastAsia="仿宋" w:cs="仿宋"/>
          <w:sz w:val="32"/>
          <w:szCs w:val="32"/>
          <w:lang w:eastAsia="zh-CN"/>
        </w:rPr>
        <w:t>”</w:t>
      </w:r>
      <w:r>
        <w:rPr>
          <w:rFonts w:hint="default" w:ascii="仿宋" w:hAnsi="仿宋" w:eastAsia="仿宋" w:cs="仿宋"/>
          <w:sz w:val="32"/>
          <w:szCs w:val="32"/>
        </w:rPr>
        <w:t>或</w:t>
      </w:r>
      <w:r>
        <w:rPr>
          <w:rFonts w:hint="default" w:ascii="仿宋" w:hAnsi="仿宋" w:eastAsia="仿宋" w:cs="仿宋"/>
          <w:sz w:val="32"/>
          <w:szCs w:val="32"/>
          <w:lang w:eastAsia="zh-CN"/>
        </w:rPr>
        <w:t>“</w:t>
      </w:r>
      <w:r>
        <w:rPr>
          <w:rFonts w:hint="default" w:ascii="仿宋" w:hAnsi="仿宋" w:eastAsia="仿宋" w:cs="仿宋"/>
          <w:sz w:val="32"/>
          <w:szCs w:val="32"/>
        </w:rPr>
        <w:t>不得</w:t>
      </w:r>
      <w:r>
        <w:rPr>
          <w:rFonts w:hint="default" w:ascii="仿宋" w:hAnsi="仿宋" w:eastAsia="仿宋" w:cs="仿宋"/>
          <w:sz w:val="32"/>
          <w:szCs w:val="32"/>
          <w:lang w:eastAsia="zh-CN"/>
        </w:rPr>
        <w:t>”</w:t>
      </w:r>
      <w:r>
        <w:rPr>
          <w:rFonts w:hint="default" w:ascii="仿宋" w:hAnsi="仿宋" w:eastAsia="仿宋" w:cs="仿宋"/>
          <w:sz w:val="32"/>
          <w:szCs w:val="32"/>
        </w:rPr>
        <w:t>。</w:t>
      </w:r>
    </w:p>
    <w:p w14:paraId="4E1CEAF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（三）</w:t>
      </w:r>
      <w:r>
        <w:rPr>
          <w:rFonts w:hint="default" w:ascii="仿宋" w:hAnsi="仿宋" w:eastAsia="仿宋" w:cs="仿宋"/>
          <w:sz w:val="32"/>
          <w:szCs w:val="32"/>
        </w:rPr>
        <w:t>表示允许稍有选择，在条件许可时首先应这样做的用词</w:t>
      </w:r>
      <w:r>
        <w:rPr>
          <w:rFonts w:hint="default" w:ascii="仿宋" w:hAnsi="仿宋" w:eastAsia="仿宋" w:cs="仿宋"/>
          <w:sz w:val="32"/>
          <w:szCs w:val="32"/>
          <w:lang w:eastAsia="zh-CN"/>
        </w:rPr>
        <w:t>：</w:t>
      </w:r>
      <w:r>
        <w:rPr>
          <w:rFonts w:hint="default" w:ascii="仿宋" w:hAnsi="仿宋" w:eastAsia="仿宋" w:cs="仿宋"/>
          <w:sz w:val="32"/>
          <w:szCs w:val="32"/>
        </w:rPr>
        <w:t>正面词采用</w:t>
      </w:r>
      <w:r>
        <w:rPr>
          <w:rFonts w:hint="default" w:ascii="仿宋" w:hAnsi="仿宋" w:eastAsia="仿宋" w:cs="仿宋"/>
          <w:sz w:val="32"/>
          <w:szCs w:val="32"/>
          <w:lang w:eastAsia="zh-CN"/>
        </w:rPr>
        <w:t>“</w:t>
      </w:r>
      <w:r>
        <w:rPr>
          <w:rFonts w:hint="default" w:ascii="仿宋" w:hAnsi="仿宋" w:eastAsia="仿宋" w:cs="仿宋"/>
          <w:sz w:val="32"/>
          <w:szCs w:val="32"/>
        </w:rPr>
        <w:t>宜</w:t>
      </w:r>
      <w:r>
        <w:rPr>
          <w:rFonts w:hint="default" w:ascii="仿宋" w:hAnsi="仿宋" w:eastAsia="仿宋" w:cs="仿宋"/>
          <w:sz w:val="32"/>
          <w:szCs w:val="32"/>
          <w:lang w:eastAsia="zh-CN"/>
        </w:rPr>
        <w:t>”</w:t>
      </w:r>
      <w:r>
        <w:rPr>
          <w:rFonts w:hint="default" w:ascii="仿宋" w:hAnsi="仿宋" w:eastAsia="仿宋" w:cs="仿宋"/>
          <w:sz w:val="32"/>
          <w:szCs w:val="32"/>
        </w:rPr>
        <w:t>，反面词采用</w:t>
      </w:r>
      <w:r>
        <w:rPr>
          <w:rFonts w:hint="default" w:ascii="仿宋" w:hAnsi="仿宋" w:eastAsia="仿宋" w:cs="仿宋"/>
          <w:sz w:val="32"/>
          <w:szCs w:val="32"/>
          <w:lang w:eastAsia="zh-CN"/>
        </w:rPr>
        <w:t>“</w:t>
      </w:r>
      <w:r>
        <w:rPr>
          <w:rFonts w:hint="default" w:ascii="仿宋" w:hAnsi="仿宋" w:eastAsia="仿宋" w:cs="仿宋"/>
          <w:sz w:val="32"/>
          <w:szCs w:val="32"/>
        </w:rPr>
        <w:t>不宜</w:t>
      </w:r>
      <w:r>
        <w:rPr>
          <w:rFonts w:hint="default" w:ascii="仿宋" w:hAnsi="仿宋" w:eastAsia="仿宋" w:cs="仿宋"/>
          <w:sz w:val="32"/>
          <w:szCs w:val="32"/>
          <w:lang w:eastAsia="zh-CN"/>
        </w:rPr>
        <w:t>”。</w:t>
      </w:r>
    </w:p>
    <w:p w14:paraId="574C614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default" w:ascii="仿宋" w:hAnsi="仿宋" w:eastAsia="仿宋" w:cs="仿宋"/>
          <w:sz w:val="32"/>
          <w:szCs w:val="32"/>
        </w:rPr>
        <w:t>表示有选择，在一定条件下可以这样做的用词，采用</w:t>
      </w:r>
      <w:r>
        <w:rPr>
          <w:rFonts w:hint="default" w:ascii="仿宋" w:hAnsi="仿宋" w:eastAsia="仿宋" w:cs="仿宋"/>
          <w:sz w:val="32"/>
          <w:szCs w:val="32"/>
          <w:lang w:eastAsia="zh-CN"/>
        </w:rPr>
        <w:t>“</w:t>
      </w:r>
      <w:r>
        <w:rPr>
          <w:rFonts w:hint="default" w:ascii="仿宋" w:hAnsi="仿宋" w:eastAsia="仿宋" w:cs="仿宋"/>
          <w:sz w:val="32"/>
          <w:szCs w:val="32"/>
          <w:lang w:val="en-US" w:eastAsia="zh-CN"/>
        </w:rPr>
        <w:t>可”。</w:t>
      </w:r>
    </w:p>
    <w:p w14:paraId="15DA7D6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（五）</w:t>
      </w:r>
      <w:r>
        <w:rPr>
          <w:rFonts w:hint="default" w:ascii="仿宋" w:hAnsi="仿宋" w:eastAsia="仿宋" w:cs="仿宋"/>
          <w:sz w:val="32"/>
          <w:szCs w:val="32"/>
          <w:lang w:val="en-US" w:eastAsia="zh-CN"/>
        </w:rPr>
        <w:t>条文中指明应按其他有关标准、规范执行的要求为：“应符合……的规定（要求）”或“应按照……执行”，如相关标准、规范有更新，按最新文件要求执行。</w:t>
      </w:r>
      <w:bookmarkEnd w:id="147"/>
      <w:bookmarkEnd w:id="148"/>
    </w:p>
    <w:p w14:paraId="3ABAB8B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sectPr>
          <w:footerReference r:id="rId14" w:type="default"/>
          <w:footerReference r:id="rId15" w:type="even"/>
          <w:pgSz w:w="11905" w:h="16838"/>
          <w:pgMar w:top="2098" w:right="1474" w:bottom="1984" w:left="1587" w:header="850" w:footer="1417" w:gutter="0"/>
          <w:pgBorders>
            <w:top w:val="none" w:sz="0" w:space="0"/>
            <w:left w:val="none" w:sz="0" w:space="0"/>
            <w:bottom w:val="none" w:sz="0" w:space="0"/>
            <w:right w:val="none" w:sz="0" w:space="0"/>
          </w:pgBorders>
          <w:pgNumType w:fmt="decimal" w:start="1"/>
          <w:cols w:space="0" w:num="1"/>
          <w:rtlGutter w:val="0"/>
          <w:docGrid w:type="linesAndChars" w:linePitch="579" w:charSpace="-849"/>
        </w:sectPr>
      </w:pPr>
    </w:p>
    <w:p w14:paraId="2AA4B88C">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黑体" w:hAnsi="黑体" w:eastAsia="黑体" w:cs="黑体"/>
          <w:b w:val="0"/>
          <w:bCs w:val="0"/>
          <w:sz w:val="44"/>
          <w:lang w:val="en-US" w:eastAsia="zh-CN"/>
        </w:rPr>
      </w:pPr>
      <w:bookmarkStart w:id="149" w:name="_Toc299"/>
      <w:bookmarkStart w:id="150" w:name="_Toc15632"/>
      <w:bookmarkStart w:id="151" w:name="_Toc23650"/>
      <w:bookmarkStart w:id="152" w:name="_Toc22749"/>
      <w:r>
        <w:rPr>
          <w:rFonts w:hint="default" w:ascii="黑体" w:hAnsi="黑体" w:eastAsia="黑体" w:cs="黑体"/>
          <w:b w:val="0"/>
          <w:bCs w:val="0"/>
          <w:sz w:val="44"/>
          <w:lang w:val="en-US" w:eastAsia="zh-CN"/>
        </w:rPr>
        <w:t>附录</w:t>
      </w:r>
      <w:bookmarkEnd w:id="149"/>
      <w:bookmarkEnd w:id="150"/>
      <w:bookmarkEnd w:id="151"/>
      <w:bookmarkEnd w:id="152"/>
    </w:p>
    <w:p w14:paraId="321A6A9F">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eastAsia" w:ascii="楷体" w:hAnsi="楷体" w:eastAsia="楷体" w:cs="楷体"/>
          <w:color w:val="000000" w:themeColor="text1"/>
        </w:rPr>
      </w:pPr>
      <w:bookmarkStart w:id="153" w:name="_Toc15973"/>
      <w:bookmarkStart w:id="154" w:name="_Toc16803"/>
      <w:bookmarkStart w:id="155" w:name="_Toc17225"/>
      <w:bookmarkStart w:id="156" w:name="_Toc15221"/>
      <w:r>
        <w:rPr>
          <w:rFonts w:hint="eastAsia" w:ascii="楷体" w:hAnsi="楷体" w:eastAsia="楷体" w:cs="楷体"/>
          <w:color w:val="000000" w:themeColor="text1"/>
        </w:rPr>
        <w:t>附录</w:t>
      </w:r>
      <w:r>
        <w:rPr>
          <w:rFonts w:hint="eastAsia" w:ascii="楷体" w:hAnsi="楷体" w:eastAsia="楷体" w:cs="楷体"/>
          <w:color w:val="000000" w:themeColor="text1"/>
          <w:lang w:val="en-US" w:eastAsia="zh-CN"/>
        </w:rPr>
        <w:t>A</w:t>
      </w:r>
      <w:r>
        <w:rPr>
          <w:rFonts w:hint="eastAsia" w:ascii="楷体" w:hAnsi="楷体" w:eastAsia="楷体" w:cs="楷体"/>
          <w:color w:val="000000" w:themeColor="text1"/>
        </w:rPr>
        <w:t>名词解释</w:t>
      </w:r>
      <w:bookmarkEnd w:id="153"/>
      <w:bookmarkEnd w:id="154"/>
      <w:bookmarkEnd w:id="155"/>
      <w:bookmarkEnd w:id="156"/>
    </w:p>
    <w:p w14:paraId="70C426BF">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1.农村宅基地</w:t>
      </w:r>
    </w:p>
    <w:p w14:paraId="00CA641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val="en-US" w:eastAsia="zh-CN"/>
        </w:rPr>
        <w:t>指农村村民用于建造住宅及其附属设施的集体建设用地，包括住房、附属用房和庭院等用地。</w:t>
      </w:r>
    </w:p>
    <w:p w14:paraId="3A8965D1">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2.村庄建设边界</w:t>
      </w:r>
    </w:p>
    <w:p w14:paraId="60D7B71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指在一定时期内，可以进行村庄开发建设及需要重点管控的国土空间范围，是规划相对集中的农村居民点建设用地以及因村庄建设和发展需要必须实行规划控制的区域。</w:t>
      </w:r>
    </w:p>
    <w:p w14:paraId="71D0F26C">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3.村庄建设用地</w:t>
      </w:r>
    </w:p>
    <w:p w14:paraId="7BBBAB4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指乡村居民点，指乡村所属的商业服务业、住宅、工业、学校等用地。包括乡政府所在地和乡村居民点范围内的其他各类建设用地。</w:t>
      </w:r>
    </w:p>
    <w:p w14:paraId="4EB9A03F">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4.一类工业用地</w:t>
      </w:r>
    </w:p>
    <w:p w14:paraId="60FD2D4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对居住和公共环境基本无干扰、污染和安全隐患，布局无特殊控制要求的工业用地。</w:t>
      </w:r>
    </w:p>
    <w:p w14:paraId="5AA608D3">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5.二类工业用地</w:t>
      </w:r>
    </w:p>
    <w:p w14:paraId="32C0E1F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对居住和公共环境有一定干扰、污染和安全隐患，不可布局于居住区和公共设施集中区内的工业用地。</w:t>
      </w:r>
    </w:p>
    <w:p w14:paraId="40B2FD1F">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6.一类物流仓储用地</w:t>
      </w:r>
    </w:p>
    <w:p w14:paraId="7620489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对居住和公共环境基本无干扰、污染和安全隐患，布局</w:t>
      </w:r>
      <w:r>
        <w:rPr>
          <w:rFonts w:hint="default" w:ascii="仿宋" w:hAnsi="仿宋" w:eastAsia="仿宋" w:cs="仿宋"/>
          <w:sz w:val="32"/>
          <w:szCs w:val="32"/>
          <w:lang w:eastAsia="zh-CN"/>
        </w:rPr>
        <w:t>无</w:t>
      </w:r>
      <w:r>
        <w:rPr>
          <w:rFonts w:hint="default" w:ascii="仿宋" w:hAnsi="仿宋" w:eastAsia="仿宋" w:cs="仿宋"/>
          <w:sz w:val="32"/>
          <w:szCs w:val="32"/>
        </w:rPr>
        <w:t>特殊控制要求的物流仓储用地。</w:t>
      </w:r>
    </w:p>
    <w:p w14:paraId="7330F5E0">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7.二类物流仓储用地</w:t>
      </w:r>
    </w:p>
    <w:p w14:paraId="4B9D9CF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指对居住和公共环境有一定干扰、污染和安全隐患，不可布局于居住区和公共设施集中区内的物流仓储用地。</w:t>
      </w:r>
    </w:p>
    <w:p w14:paraId="6E4643FA">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8.商业服务业用地</w:t>
      </w:r>
    </w:p>
    <w:p w14:paraId="1FF7E2B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指商业、商务金融以及娱乐康体等设施用地，不包括农村社区服务设施用地和城镇社区服务设施用地。</w:t>
      </w:r>
    </w:p>
    <w:p w14:paraId="06C3BBFD">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9.容积率</w:t>
      </w:r>
    </w:p>
    <w:p w14:paraId="4E4AC25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default" w:ascii="仿宋" w:hAnsi="仿宋" w:eastAsia="仿宋" w:cs="仿宋"/>
          <w:sz w:val="32"/>
          <w:szCs w:val="32"/>
        </w:rPr>
        <w:t>指某一地块范围内，建筑物计容面积总和（包括附属建筑物面积，作为经营、管理、出售等用途的地下建筑面积）与建设基地净用地面积的比值</w:t>
      </w:r>
      <w:r>
        <w:rPr>
          <w:rFonts w:hint="default" w:ascii="仿宋" w:hAnsi="仿宋" w:eastAsia="仿宋" w:cs="仿宋"/>
          <w:sz w:val="32"/>
          <w:szCs w:val="32"/>
          <w:lang w:eastAsia="zh-CN"/>
        </w:rPr>
        <w:t>。</w:t>
      </w:r>
    </w:p>
    <w:p w14:paraId="1111F66A">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10.绿地率</w:t>
      </w:r>
    </w:p>
    <w:p w14:paraId="6ADD8A6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指规划建设用地范围内绿化用地总面积与规划建设用地总面积之比。</w:t>
      </w:r>
    </w:p>
    <w:p w14:paraId="3D2B6802">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bookmarkStart w:id="157" w:name="_Toc25282"/>
      <w:bookmarkStart w:id="158" w:name="_Toc12010"/>
      <w:bookmarkStart w:id="159" w:name="_Toc15785"/>
      <w:r>
        <w:rPr>
          <w:rFonts w:hint="eastAsia" w:ascii="仿宋_GB2312" w:hAnsi="仿宋_GB2312" w:eastAsia="仿宋_GB2312" w:cs="仿宋_GB2312"/>
          <w:b/>
          <w:bCs/>
          <w:color w:val="auto"/>
          <w:kern w:val="2"/>
          <w:sz w:val="32"/>
          <w:szCs w:val="32"/>
          <w:lang w:val="en-US" w:eastAsia="zh-CN" w:bidi="ar-SA"/>
        </w:rPr>
        <w:t>11.建筑高度</w:t>
      </w:r>
      <w:bookmarkEnd w:id="157"/>
      <w:bookmarkEnd w:id="158"/>
      <w:bookmarkEnd w:id="159"/>
    </w:p>
    <w:p w14:paraId="2A81282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指建筑物室外地面到其檐口或者屋面面层的高度。</w:t>
      </w:r>
    </w:p>
    <w:p w14:paraId="38A8D865">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bookmarkStart w:id="160" w:name="_Toc19425"/>
      <w:bookmarkStart w:id="161" w:name="_Toc17259"/>
      <w:bookmarkStart w:id="162" w:name="_Toc18611"/>
      <w:r>
        <w:rPr>
          <w:rFonts w:hint="eastAsia" w:ascii="仿宋_GB2312" w:hAnsi="仿宋_GB2312" w:eastAsia="仿宋_GB2312" w:cs="仿宋_GB2312"/>
          <w:b/>
          <w:bCs/>
          <w:color w:val="auto"/>
          <w:kern w:val="2"/>
          <w:sz w:val="32"/>
          <w:szCs w:val="32"/>
          <w:lang w:val="en-US" w:eastAsia="zh-CN" w:bidi="ar-SA"/>
        </w:rPr>
        <w:t>12.建筑密度</w:t>
      </w:r>
      <w:bookmarkEnd w:id="160"/>
      <w:bookmarkEnd w:id="161"/>
      <w:bookmarkEnd w:id="162"/>
    </w:p>
    <w:p w14:paraId="10FC268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val="en-US" w:eastAsia="zh-CN"/>
        </w:rPr>
        <w:t>指某一基地范围内，所有建筑物底层占地面积与基地面积的比率（%）。</w:t>
      </w:r>
    </w:p>
    <w:p w14:paraId="4374B493">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13.建筑系数</w:t>
      </w:r>
    </w:p>
    <w:p w14:paraId="2E33383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指</w:t>
      </w:r>
      <w:r>
        <w:rPr>
          <w:rFonts w:hint="default" w:ascii="仿宋" w:hAnsi="仿宋" w:eastAsia="仿宋" w:cs="仿宋"/>
          <w:sz w:val="32"/>
          <w:szCs w:val="32"/>
          <w:lang w:val="en-US" w:eastAsia="zh-CN"/>
        </w:rPr>
        <w:t>项目用地范围内各种建筑物、用于生产和直接为生产服务的构筑物占地面积总和与项目总用地面积的比例。</w:t>
      </w:r>
    </w:p>
    <w:p w14:paraId="4FB31E6D">
      <w:pPr>
        <w:pStyle w:val="3"/>
        <w:keepNext w:val="0"/>
        <w:keepLines w:val="0"/>
        <w:pageBreakBefore w:val="0"/>
        <w:widowControl w:val="0"/>
        <w:kinsoku/>
        <w:wordWrap/>
        <w:overflowPunct/>
        <w:topLinePunct w:val="0"/>
        <w:autoSpaceDE/>
        <w:autoSpaceDN/>
        <w:bidi w:val="0"/>
        <w:textAlignment w:val="auto"/>
        <w:rPr>
          <w:rFonts w:hint="default" w:ascii="Times New Roman" w:hAnsi="Times New Roman" w:eastAsia="仿宋_GB2312" w:cs="Times New Roman"/>
          <w:b/>
          <w:bCs/>
          <w:color w:val="auto"/>
          <w:sz w:val="32"/>
          <w:szCs w:val="32"/>
        </w:rPr>
      </w:pPr>
      <w:bookmarkStart w:id="163" w:name="_Toc13118"/>
      <w:bookmarkStart w:id="164" w:name="_Toc20807"/>
      <w:bookmarkStart w:id="165" w:name="_Toc23944"/>
      <w:r>
        <w:rPr>
          <w:rFonts w:hint="default" w:ascii="Times New Roman" w:hAnsi="Times New Roman" w:eastAsia="仿宋_GB2312" w:cs="Times New Roman"/>
          <w:b/>
          <w:bCs/>
          <w:color w:val="auto"/>
          <w:sz w:val="32"/>
          <w:szCs w:val="32"/>
        </w:rPr>
        <w:br w:type="column"/>
      </w:r>
      <w:r>
        <w:rPr>
          <w:rFonts w:hint="default" w:ascii="楷体" w:hAnsi="楷体" w:eastAsia="楷体" w:cs="楷体"/>
          <w:color w:val="000000" w:themeColor="text1"/>
        </w:rPr>
        <w:t>附录</w:t>
      </w:r>
      <w:r>
        <w:rPr>
          <w:rFonts w:hint="default" w:ascii="楷体" w:hAnsi="楷体" w:eastAsia="楷体" w:cs="楷体"/>
          <w:color w:val="000000" w:themeColor="text1"/>
          <w:lang w:val="en-US" w:eastAsia="zh-CN"/>
        </w:rPr>
        <w:t>B</w:t>
      </w:r>
      <w:r>
        <w:rPr>
          <w:rFonts w:hint="default" w:ascii="楷体" w:hAnsi="楷体" w:eastAsia="楷体" w:cs="楷体"/>
          <w:color w:val="000000" w:themeColor="text1"/>
        </w:rPr>
        <w:t>村庄建设用地指标分解规则</w:t>
      </w:r>
      <w:bookmarkEnd w:id="163"/>
      <w:bookmarkEnd w:id="164"/>
      <w:bookmarkEnd w:id="165"/>
    </w:p>
    <w:p w14:paraId="0F707DE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1.全市域规划村庄建设用地规模不得超过2020年度国土变更调查村庄用地（203）规模。</w:t>
      </w:r>
    </w:p>
    <w:p w14:paraId="3873D97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2.各乡镇村庄建设规模原则不得突破上位国土空间规划分解下达的村庄建设用地指标，原则上以乡镇为单元进行总量控制，内部平衡，确需突破的进行充分论证。</w:t>
      </w:r>
    </w:p>
    <w:p w14:paraId="69C7919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3.已编村庄规划且已入库的，以数据库的规划村庄建设用地规模为准。</w:t>
      </w:r>
    </w:p>
    <w:p w14:paraId="751D7F6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4.已编村庄规划已批但未入库的，原则上以已批的或已承诺的规划村庄建设用地规模为准，乡镇汇总后村庄建设用地规模超出上位国土空间规划下达指标的，需进行调整。</w:t>
      </w:r>
    </w:p>
    <w:p w14:paraId="2001219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5.指标分解原则上可向乡镇政府所在地的村、重点发展的行政村倾斜，其他一般型行政村指标保持减量或不变。</w:t>
      </w:r>
    </w:p>
    <w:p w14:paraId="4B71CEF0">
      <w:pPr>
        <w:pStyle w:val="3"/>
        <w:keepNext w:val="0"/>
        <w:keepLines w:val="0"/>
        <w:pageBreakBefore w:val="0"/>
        <w:widowControl w:val="0"/>
        <w:kinsoku/>
        <w:wordWrap/>
        <w:overflowPunct/>
        <w:topLinePunct w:val="0"/>
        <w:autoSpaceDE/>
        <w:autoSpaceDN/>
        <w:bidi w:val="0"/>
        <w:textAlignment w:val="auto"/>
        <w:rPr>
          <w:rFonts w:hint="default" w:ascii="Times New Roman" w:hAnsi="Times New Roman" w:eastAsia="仿宋_GB2312" w:cs="Times New Roman"/>
          <w:b/>
          <w:bCs/>
          <w:color w:val="auto"/>
          <w:sz w:val="32"/>
          <w:szCs w:val="32"/>
        </w:rPr>
      </w:pPr>
      <w:bookmarkStart w:id="166" w:name="_Toc14246"/>
      <w:bookmarkStart w:id="167" w:name="_Toc5856"/>
      <w:bookmarkStart w:id="168" w:name="_Toc4016"/>
      <w:r>
        <w:rPr>
          <w:rFonts w:hint="default" w:ascii="Times New Roman" w:hAnsi="Times New Roman" w:eastAsia="仿宋_GB2312" w:cs="Times New Roman"/>
          <w:b/>
          <w:bCs/>
          <w:color w:val="auto"/>
          <w:sz w:val="32"/>
          <w:szCs w:val="32"/>
        </w:rPr>
        <w:br w:type="column"/>
      </w:r>
      <w:r>
        <w:rPr>
          <w:rFonts w:hint="default" w:ascii="楷体" w:hAnsi="楷体" w:eastAsia="楷体" w:cs="楷体"/>
          <w:color w:val="000000" w:themeColor="text1"/>
        </w:rPr>
        <w:t>附录</w:t>
      </w:r>
      <w:r>
        <w:rPr>
          <w:rFonts w:hint="default" w:ascii="楷体" w:hAnsi="楷体" w:eastAsia="楷体" w:cs="楷体"/>
          <w:color w:val="000000" w:themeColor="text1"/>
          <w:lang w:val="en-US" w:eastAsia="zh-CN"/>
        </w:rPr>
        <w:t>C</w:t>
      </w:r>
      <w:r>
        <w:rPr>
          <w:rFonts w:hint="default" w:ascii="楷体" w:hAnsi="楷体" w:eastAsia="楷体" w:cs="楷体"/>
          <w:color w:val="000000" w:themeColor="text1"/>
        </w:rPr>
        <w:t>引用法律法规、政策文件和标准规范名录</w:t>
      </w:r>
      <w:bookmarkEnd w:id="166"/>
      <w:bookmarkEnd w:id="167"/>
      <w:bookmarkEnd w:id="168"/>
    </w:p>
    <w:p w14:paraId="6220F313">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（一）法律法规</w:t>
      </w:r>
    </w:p>
    <w:p w14:paraId="22391CC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rPr>
        <w:t>《中华人民共和国土地管理法》（2020年1月1日起施行）</w:t>
      </w:r>
      <w:r>
        <w:rPr>
          <w:rFonts w:hint="default" w:ascii="仿宋" w:hAnsi="仿宋" w:eastAsia="仿宋" w:cs="仿宋"/>
          <w:sz w:val="32"/>
          <w:szCs w:val="32"/>
          <w:lang w:eastAsia="zh-CN"/>
        </w:rPr>
        <w:t>；</w:t>
      </w:r>
    </w:p>
    <w:p w14:paraId="686DE40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rPr>
        <w:t>《中华人民共和国城乡规划法》（2019年4月23日起施行）</w:t>
      </w:r>
      <w:r>
        <w:rPr>
          <w:rFonts w:hint="default" w:ascii="仿宋" w:hAnsi="仿宋" w:eastAsia="仿宋" w:cs="仿宋"/>
          <w:sz w:val="32"/>
          <w:szCs w:val="32"/>
          <w:lang w:eastAsia="zh-CN"/>
        </w:rPr>
        <w:t>；</w:t>
      </w:r>
    </w:p>
    <w:p w14:paraId="1CFC366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《中华人民共和国文物保护法》（2025年3月1日起施行）；</w:t>
      </w:r>
    </w:p>
    <w:p w14:paraId="7EFE477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rPr>
        <w:t>《中华人民共和国土地管理法实施条例》（2021年9 月1日起施行）</w:t>
      </w:r>
      <w:r>
        <w:rPr>
          <w:rFonts w:hint="default" w:ascii="仿宋" w:hAnsi="仿宋" w:eastAsia="仿宋" w:cs="仿宋"/>
          <w:sz w:val="32"/>
          <w:szCs w:val="32"/>
          <w:lang w:eastAsia="zh-CN"/>
        </w:rPr>
        <w:t>；</w:t>
      </w:r>
    </w:p>
    <w:p w14:paraId="019BECA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rPr>
        <w:t>《基本农田保护条例》（2011年1月8日起施行）</w:t>
      </w:r>
      <w:r>
        <w:rPr>
          <w:rFonts w:hint="default" w:ascii="仿宋" w:hAnsi="仿宋" w:eastAsia="仿宋" w:cs="仿宋"/>
          <w:sz w:val="32"/>
          <w:szCs w:val="32"/>
          <w:lang w:eastAsia="zh-CN"/>
        </w:rPr>
        <w:t>；</w:t>
      </w:r>
    </w:p>
    <w:p w14:paraId="56F39F7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6.</w:t>
      </w:r>
      <w:r>
        <w:rPr>
          <w:rFonts w:hint="default" w:ascii="仿宋" w:hAnsi="仿宋" w:eastAsia="仿宋" w:cs="仿宋"/>
          <w:sz w:val="32"/>
          <w:szCs w:val="32"/>
        </w:rPr>
        <w:t>《中华人民共和国自然保护区条例》（1994年12 月1日起施行）</w:t>
      </w:r>
      <w:r>
        <w:rPr>
          <w:rFonts w:hint="default" w:ascii="仿宋" w:hAnsi="仿宋" w:eastAsia="仿宋" w:cs="仿宋"/>
          <w:sz w:val="32"/>
          <w:szCs w:val="32"/>
          <w:lang w:eastAsia="zh-CN"/>
        </w:rPr>
        <w:t>；</w:t>
      </w:r>
    </w:p>
    <w:p w14:paraId="674EF73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7.</w:t>
      </w:r>
      <w:r>
        <w:rPr>
          <w:rFonts w:hint="default" w:ascii="仿宋" w:hAnsi="仿宋" w:eastAsia="仿宋" w:cs="仿宋"/>
          <w:sz w:val="32"/>
          <w:szCs w:val="32"/>
        </w:rPr>
        <w:t>《历史文化名城名镇名村保护条例》（2008年7月1日起施行）</w:t>
      </w:r>
      <w:r>
        <w:rPr>
          <w:rFonts w:hint="default" w:ascii="仿宋" w:hAnsi="仿宋" w:eastAsia="仿宋" w:cs="仿宋"/>
          <w:sz w:val="32"/>
          <w:szCs w:val="32"/>
          <w:lang w:eastAsia="zh-CN"/>
        </w:rPr>
        <w:t>；</w:t>
      </w:r>
    </w:p>
    <w:p w14:paraId="4988B9E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8.</w:t>
      </w:r>
      <w:r>
        <w:rPr>
          <w:rFonts w:hint="default" w:ascii="仿宋" w:hAnsi="仿宋" w:eastAsia="仿宋" w:cs="仿宋"/>
          <w:sz w:val="32"/>
          <w:szCs w:val="32"/>
        </w:rPr>
        <w:t>《公路安全保护条例》（2011年7月1日起施行）</w:t>
      </w:r>
      <w:r>
        <w:rPr>
          <w:rFonts w:hint="default" w:ascii="仿宋" w:hAnsi="仿宋" w:eastAsia="仿宋" w:cs="仿宋"/>
          <w:sz w:val="32"/>
          <w:szCs w:val="32"/>
          <w:lang w:eastAsia="zh-CN"/>
        </w:rPr>
        <w:t>；</w:t>
      </w:r>
    </w:p>
    <w:p w14:paraId="6C67137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9.</w:t>
      </w:r>
      <w:r>
        <w:rPr>
          <w:rFonts w:hint="default" w:ascii="仿宋" w:hAnsi="仿宋" w:eastAsia="仿宋" w:cs="仿宋"/>
          <w:sz w:val="32"/>
          <w:szCs w:val="32"/>
        </w:rPr>
        <w:t>《饮用水水源保护区污染防治管理规定（修订）》（2019年修订）；</w:t>
      </w:r>
    </w:p>
    <w:p w14:paraId="21E0C44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10.</w:t>
      </w:r>
      <w:r>
        <w:rPr>
          <w:rFonts w:hint="default" w:ascii="仿宋" w:hAnsi="仿宋" w:eastAsia="仿宋" w:cs="仿宋"/>
          <w:sz w:val="32"/>
          <w:szCs w:val="32"/>
        </w:rPr>
        <w:t>《广西壮族自治区高速公路条例》（2022年10月1日起施行）</w:t>
      </w:r>
      <w:r>
        <w:rPr>
          <w:rFonts w:hint="default" w:ascii="仿宋" w:hAnsi="仿宋" w:eastAsia="仿宋" w:cs="仿宋"/>
          <w:sz w:val="32"/>
          <w:szCs w:val="32"/>
          <w:lang w:eastAsia="zh-CN"/>
        </w:rPr>
        <w:t>；</w:t>
      </w:r>
    </w:p>
    <w:p w14:paraId="5617349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11.</w:t>
      </w:r>
      <w:r>
        <w:rPr>
          <w:rFonts w:hint="default" w:ascii="仿宋" w:hAnsi="仿宋" w:eastAsia="仿宋" w:cs="仿宋"/>
          <w:sz w:val="32"/>
          <w:szCs w:val="32"/>
        </w:rPr>
        <w:t>《广西壮族自治区农村公路管理办法》（2017年3月1日起施行）</w:t>
      </w:r>
      <w:r>
        <w:rPr>
          <w:rFonts w:hint="default" w:ascii="仿宋" w:hAnsi="仿宋" w:eastAsia="仿宋" w:cs="仿宋"/>
          <w:sz w:val="32"/>
          <w:szCs w:val="32"/>
          <w:lang w:eastAsia="zh-CN"/>
        </w:rPr>
        <w:t>；</w:t>
      </w:r>
    </w:p>
    <w:p w14:paraId="7FCC447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w:t>
      </w:r>
      <w:r>
        <w:rPr>
          <w:rFonts w:hint="default" w:ascii="仿宋" w:hAnsi="仿宋" w:eastAsia="仿宋" w:cs="仿宋"/>
          <w:sz w:val="32"/>
          <w:szCs w:val="32"/>
          <w:lang w:val="en-US" w:eastAsia="zh-CN"/>
        </w:rPr>
        <w:t>《</w:t>
      </w:r>
      <w:r>
        <w:rPr>
          <w:rFonts w:hint="default" w:ascii="仿宋" w:hAnsi="仿宋" w:eastAsia="仿宋" w:cs="仿宋"/>
          <w:sz w:val="32"/>
          <w:szCs w:val="32"/>
        </w:rPr>
        <w:t>广西壮族自治区土地管理条例</w:t>
      </w:r>
      <w:r>
        <w:rPr>
          <w:rFonts w:hint="default" w:ascii="仿宋" w:hAnsi="仿宋" w:eastAsia="仿宋" w:cs="仿宋"/>
          <w:sz w:val="32"/>
          <w:szCs w:val="32"/>
          <w:lang w:val="en-US" w:eastAsia="zh-CN"/>
        </w:rPr>
        <w:t>》（2024年1月1日起施行）；</w:t>
      </w:r>
    </w:p>
    <w:p w14:paraId="2F55C89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13.</w:t>
      </w:r>
      <w:r>
        <w:rPr>
          <w:rFonts w:hint="default" w:ascii="仿宋" w:hAnsi="仿宋" w:eastAsia="仿宋" w:cs="仿宋"/>
          <w:sz w:val="32"/>
          <w:szCs w:val="32"/>
          <w:lang w:val="en-US" w:eastAsia="zh-CN"/>
        </w:rPr>
        <w:t>《广西生态保护红线监管办法（试行）》（2023年5月18日起试行）。</w:t>
      </w:r>
    </w:p>
    <w:p w14:paraId="2C7BD9B1">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（二）标准规范</w:t>
      </w:r>
    </w:p>
    <w:p w14:paraId="267A144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rPr>
        <w:t>《国土空间调查、规划、用途管制用地用海分类指南》</w:t>
      </w:r>
      <w:r>
        <w:rPr>
          <w:rFonts w:hint="default" w:ascii="仿宋" w:hAnsi="仿宋" w:eastAsia="仿宋" w:cs="仿宋"/>
          <w:sz w:val="32"/>
          <w:szCs w:val="32"/>
          <w:lang w:eastAsia="zh-CN"/>
        </w:rPr>
        <w:t>；</w:t>
      </w:r>
    </w:p>
    <w:p w14:paraId="46E8029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rPr>
        <w:t>《社区生活圈规划技术指南》（TD/T1062-2021）</w:t>
      </w:r>
      <w:r>
        <w:rPr>
          <w:rFonts w:hint="default" w:ascii="仿宋" w:hAnsi="仿宋" w:eastAsia="仿宋" w:cs="仿宋"/>
          <w:sz w:val="32"/>
          <w:szCs w:val="32"/>
          <w:lang w:eastAsia="zh-CN"/>
        </w:rPr>
        <w:t>；</w:t>
      </w:r>
    </w:p>
    <w:p w14:paraId="2FE32144">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0"/>
        <w:textAlignment w:val="auto"/>
        <w:outlineLvl w:val="9"/>
        <w:rPr>
          <w:rFonts w:hint="eastAsia" w:ascii="仿宋" w:hAnsi="仿宋" w:eastAsia="仿宋" w:cs="仿宋"/>
          <w:sz w:val="32"/>
          <w:szCs w:val="32"/>
          <w:lang w:eastAsia="zh-CN"/>
        </w:rPr>
      </w:pPr>
      <w:r>
        <w:rPr>
          <w:rFonts w:hint="eastAsia" w:ascii="仿宋" w:hAnsi="仿宋" w:cs="仿宋"/>
          <w:sz w:val="32"/>
          <w:szCs w:val="32"/>
          <w:lang w:val="en-US" w:eastAsia="zh-CN"/>
        </w:rPr>
        <w:t>3</w:t>
      </w:r>
      <w:r>
        <w:rPr>
          <w:rFonts w:hint="eastAsia" w:ascii="仿宋" w:hAnsi="仿宋" w:eastAsia="仿宋" w:cs="仿宋"/>
          <w:sz w:val="32"/>
          <w:szCs w:val="32"/>
        </w:rPr>
        <w:t>.《中小学校设计规范》（GB 50099-2011）</w:t>
      </w:r>
      <w:r>
        <w:rPr>
          <w:rFonts w:hint="eastAsia" w:ascii="仿宋" w:hAnsi="仿宋" w:eastAsia="仿宋" w:cs="仿宋"/>
          <w:sz w:val="32"/>
          <w:szCs w:val="32"/>
          <w:lang w:eastAsia="zh-CN"/>
        </w:rPr>
        <w:t>；</w:t>
      </w:r>
    </w:p>
    <w:p w14:paraId="4E479CD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4</w:t>
      </w:r>
      <w:r>
        <w:rPr>
          <w:rFonts w:hint="eastAsia" w:ascii="仿宋" w:hAnsi="仿宋" w:eastAsia="仿宋" w:cs="仿宋"/>
          <w:sz w:val="32"/>
          <w:szCs w:val="32"/>
          <w:lang w:val="en-US" w:eastAsia="zh-CN"/>
        </w:rPr>
        <w:t>.</w:t>
      </w:r>
      <w:r>
        <w:rPr>
          <w:rFonts w:hint="default" w:ascii="仿宋" w:hAnsi="仿宋" w:eastAsia="仿宋" w:cs="仿宋"/>
          <w:sz w:val="32"/>
          <w:szCs w:val="32"/>
        </w:rPr>
        <w:t>《农村普通中小学校建设标准》（建标109-2008）</w:t>
      </w:r>
      <w:r>
        <w:rPr>
          <w:rFonts w:hint="default" w:ascii="仿宋" w:hAnsi="仿宋" w:eastAsia="仿宋" w:cs="仿宋"/>
          <w:sz w:val="32"/>
          <w:szCs w:val="32"/>
          <w:lang w:eastAsia="zh-CN"/>
        </w:rPr>
        <w:t>；</w:t>
      </w:r>
    </w:p>
    <w:p w14:paraId="29E8EE5C">
      <w:pPr>
        <w:pStyle w:val="24"/>
        <w:rPr>
          <w:rFonts w:hint="default"/>
          <w:lang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rPr>
        <w:t>《幼儿园建设标准》（建标175-2016）</w:t>
      </w:r>
      <w:r>
        <w:rPr>
          <w:rFonts w:hint="default" w:ascii="仿宋" w:hAnsi="仿宋" w:eastAsia="仿宋" w:cs="仿宋"/>
          <w:sz w:val="32"/>
          <w:szCs w:val="32"/>
          <w:lang w:eastAsia="zh-CN"/>
        </w:rPr>
        <w:t>；</w:t>
      </w:r>
    </w:p>
    <w:p w14:paraId="7428ACF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cs="仿宋"/>
          <w:sz w:val="32"/>
          <w:szCs w:val="32"/>
          <w:lang w:val="en-US" w:eastAsia="zh-CN"/>
        </w:rPr>
        <w:t>6</w:t>
      </w:r>
      <w:r>
        <w:rPr>
          <w:rFonts w:hint="eastAsia" w:ascii="仿宋" w:hAnsi="仿宋" w:eastAsia="仿宋" w:cs="仿宋"/>
          <w:sz w:val="32"/>
          <w:szCs w:val="32"/>
          <w:lang w:val="en-US" w:eastAsia="zh-CN"/>
        </w:rPr>
        <w:t>.</w:t>
      </w:r>
      <w:r>
        <w:rPr>
          <w:rFonts w:hint="default" w:ascii="仿宋" w:hAnsi="仿宋" w:eastAsia="仿宋" w:cs="仿宋"/>
          <w:sz w:val="32"/>
          <w:szCs w:val="32"/>
        </w:rPr>
        <w:t>《托儿所、幼儿园建筑设计规范》（JGJ39-2016，2019年版）；</w:t>
      </w:r>
    </w:p>
    <w:p w14:paraId="2AB2052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7</w:t>
      </w:r>
      <w:r>
        <w:rPr>
          <w:rFonts w:hint="eastAsia" w:ascii="仿宋" w:hAnsi="仿宋" w:eastAsia="仿宋" w:cs="仿宋"/>
          <w:sz w:val="32"/>
          <w:szCs w:val="32"/>
          <w:lang w:val="en-US" w:eastAsia="zh-CN"/>
        </w:rPr>
        <w:t>.</w:t>
      </w:r>
      <w:r>
        <w:rPr>
          <w:rFonts w:hint="default" w:ascii="仿宋" w:hAnsi="仿宋" w:eastAsia="仿宋" w:cs="仿宋"/>
          <w:sz w:val="32"/>
          <w:szCs w:val="32"/>
        </w:rPr>
        <w:t>《民用建筑统一标准》（GB 50352-2019）</w:t>
      </w:r>
      <w:r>
        <w:rPr>
          <w:rFonts w:hint="default" w:ascii="仿宋" w:hAnsi="仿宋" w:eastAsia="仿宋" w:cs="仿宋"/>
          <w:sz w:val="32"/>
          <w:szCs w:val="32"/>
          <w:lang w:eastAsia="zh-CN"/>
        </w:rPr>
        <w:t>；</w:t>
      </w:r>
    </w:p>
    <w:p w14:paraId="18634BF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8</w:t>
      </w:r>
      <w:r>
        <w:rPr>
          <w:rFonts w:hint="eastAsia" w:ascii="仿宋" w:hAnsi="仿宋" w:eastAsia="仿宋" w:cs="仿宋"/>
          <w:sz w:val="32"/>
          <w:szCs w:val="32"/>
          <w:lang w:val="en-US" w:eastAsia="zh-CN"/>
        </w:rPr>
        <w:t>.</w:t>
      </w:r>
      <w:r>
        <w:rPr>
          <w:rFonts w:hint="default" w:ascii="仿宋" w:hAnsi="仿宋" w:eastAsia="仿宋" w:cs="仿宋"/>
          <w:sz w:val="32"/>
          <w:szCs w:val="32"/>
        </w:rPr>
        <w:t>《城乡排水工程项目规范》（GB 55027-2022）</w:t>
      </w:r>
      <w:r>
        <w:rPr>
          <w:rFonts w:hint="default" w:ascii="仿宋" w:hAnsi="仿宋" w:eastAsia="仿宋" w:cs="仿宋"/>
          <w:sz w:val="32"/>
          <w:szCs w:val="32"/>
          <w:lang w:eastAsia="zh-CN"/>
        </w:rPr>
        <w:t>；</w:t>
      </w:r>
    </w:p>
    <w:p w14:paraId="2089662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9</w:t>
      </w:r>
      <w:r>
        <w:rPr>
          <w:rFonts w:hint="eastAsia" w:ascii="仿宋" w:hAnsi="仿宋" w:eastAsia="仿宋" w:cs="仿宋"/>
          <w:sz w:val="32"/>
          <w:szCs w:val="32"/>
          <w:lang w:val="en-US" w:eastAsia="zh-CN"/>
        </w:rPr>
        <w:t>.</w:t>
      </w:r>
      <w:r>
        <w:rPr>
          <w:rFonts w:hint="default" w:ascii="仿宋" w:hAnsi="仿宋" w:eastAsia="仿宋" w:cs="仿宋"/>
          <w:sz w:val="32"/>
          <w:szCs w:val="32"/>
        </w:rPr>
        <w:t>《城市排水工程规划规范》（GB 50318-2017）</w:t>
      </w:r>
      <w:r>
        <w:rPr>
          <w:rFonts w:hint="default" w:ascii="仿宋" w:hAnsi="仿宋" w:eastAsia="仿宋" w:cs="仿宋"/>
          <w:sz w:val="32"/>
          <w:szCs w:val="32"/>
          <w:lang w:eastAsia="zh-CN"/>
        </w:rPr>
        <w:t>；</w:t>
      </w:r>
    </w:p>
    <w:p w14:paraId="2EC97AC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10</w:t>
      </w:r>
      <w:r>
        <w:rPr>
          <w:rFonts w:hint="eastAsia" w:ascii="仿宋" w:hAnsi="仿宋" w:eastAsia="仿宋" w:cs="仿宋"/>
          <w:sz w:val="32"/>
          <w:szCs w:val="32"/>
          <w:lang w:val="en-US" w:eastAsia="zh-CN"/>
        </w:rPr>
        <w:t>.</w:t>
      </w:r>
      <w:r>
        <w:rPr>
          <w:rFonts w:hint="default" w:ascii="仿宋" w:hAnsi="仿宋" w:eastAsia="仿宋" w:cs="仿宋"/>
          <w:sz w:val="32"/>
          <w:szCs w:val="32"/>
        </w:rPr>
        <w:t>《生活饮用水卫生标准》（GB5749-2022）</w:t>
      </w:r>
      <w:r>
        <w:rPr>
          <w:rFonts w:hint="default" w:ascii="仿宋" w:hAnsi="仿宋" w:eastAsia="仿宋" w:cs="仿宋"/>
          <w:sz w:val="32"/>
          <w:szCs w:val="32"/>
          <w:lang w:eastAsia="zh-CN"/>
        </w:rPr>
        <w:t>；</w:t>
      </w:r>
    </w:p>
    <w:p w14:paraId="415271A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11</w:t>
      </w:r>
      <w:r>
        <w:rPr>
          <w:rFonts w:hint="eastAsia" w:ascii="仿宋" w:hAnsi="仿宋" w:eastAsia="仿宋" w:cs="仿宋"/>
          <w:sz w:val="32"/>
          <w:szCs w:val="32"/>
          <w:lang w:val="en-US" w:eastAsia="zh-CN"/>
        </w:rPr>
        <w:t>.</w:t>
      </w:r>
      <w:r>
        <w:rPr>
          <w:rFonts w:hint="default" w:ascii="仿宋" w:hAnsi="仿宋" w:eastAsia="仿宋" w:cs="仿宋"/>
          <w:sz w:val="32"/>
          <w:szCs w:val="32"/>
        </w:rPr>
        <w:t>《农村集中式供水卫生规范》（DB45/T2252-2021）</w:t>
      </w:r>
      <w:r>
        <w:rPr>
          <w:rFonts w:hint="default" w:ascii="仿宋" w:hAnsi="仿宋" w:eastAsia="仿宋" w:cs="仿宋"/>
          <w:sz w:val="32"/>
          <w:szCs w:val="32"/>
          <w:lang w:eastAsia="zh-CN"/>
        </w:rPr>
        <w:t>；</w:t>
      </w:r>
    </w:p>
    <w:p w14:paraId="4D7A2A8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2</w:t>
      </w:r>
      <w:r>
        <w:rPr>
          <w:rFonts w:hint="eastAsia" w:ascii="仿宋" w:hAnsi="仿宋" w:eastAsia="仿宋" w:cs="仿宋"/>
          <w:sz w:val="32"/>
          <w:szCs w:val="32"/>
          <w:lang w:val="en-US" w:eastAsia="zh-CN"/>
        </w:rPr>
        <w:t>.</w:t>
      </w:r>
      <w:r>
        <w:rPr>
          <w:rFonts w:hint="default" w:ascii="仿宋" w:hAnsi="仿宋" w:eastAsia="仿宋" w:cs="仿宋"/>
          <w:sz w:val="32"/>
          <w:szCs w:val="32"/>
        </w:rPr>
        <w:t>《地下水质量标准》（GB/T14848-2017）</w:t>
      </w:r>
      <w:r>
        <w:rPr>
          <w:rFonts w:hint="default" w:ascii="仿宋" w:hAnsi="仿宋" w:eastAsia="仿宋" w:cs="仿宋"/>
          <w:sz w:val="32"/>
          <w:szCs w:val="32"/>
          <w:lang w:eastAsia="zh-CN"/>
        </w:rPr>
        <w:t>；</w:t>
      </w:r>
    </w:p>
    <w:p w14:paraId="0996E6C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3</w:t>
      </w:r>
      <w:r>
        <w:rPr>
          <w:rFonts w:hint="eastAsia" w:ascii="仿宋" w:hAnsi="仿宋" w:eastAsia="仿宋" w:cs="仿宋"/>
          <w:sz w:val="32"/>
          <w:szCs w:val="32"/>
          <w:lang w:val="en-US" w:eastAsia="zh-CN"/>
        </w:rPr>
        <w:t>.</w:t>
      </w:r>
      <w:r>
        <w:rPr>
          <w:rFonts w:hint="default" w:ascii="仿宋" w:hAnsi="仿宋" w:eastAsia="仿宋" w:cs="仿宋"/>
          <w:sz w:val="32"/>
          <w:szCs w:val="32"/>
        </w:rPr>
        <w:t>《农村生活污水处理设施水污染物排放标准》（DB45/2413-2021）</w:t>
      </w:r>
      <w:r>
        <w:rPr>
          <w:rFonts w:hint="default" w:ascii="仿宋" w:hAnsi="仿宋" w:eastAsia="仿宋" w:cs="仿宋"/>
          <w:sz w:val="32"/>
          <w:szCs w:val="32"/>
          <w:lang w:eastAsia="zh-CN"/>
        </w:rPr>
        <w:t>；</w:t>
      </w:r>
    </w:p>
    <w:p w14:paraId="60F35BB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4</w:t>
      </w:r>
      <w:r>
        <w:rPr>
          <w:rFonts w:hint="eastAsia" w:ascii="仿宋" w:hAnsi="仿宋" w:eastAsia="仿宋" w:cs="仿宋"/>
          <w:sz w:val="32"/>
          <w:szCs w:val="32"/>
          <w:lang w:val="en-US" w:eastAsia="zh-CN"/>
        </w:rPr>
        <w:t>.</w:t>
      </w:r>
      <w:r>
        <w:rPr>
          <w:rFonts w:hint="default" w:ascii="仿宋" w:hAnsi="仿宋" w:eastAsia="仿宋" w:cs="仿宋"/>
          <w:sz w:val="32"/>
          <w:szCs w:val="32"/>
        </w:rPr>
        <w:t>《城镇污水处理厂污染物排放标准》（GB 18918-2002）</w:t>
      </w:r>
      <w:r>
        <w:rPr>
          <w:rFonts w:hint="default" w:ascii="仿宋" w:hAnsi="仿宋" w:eastAsia="仿宋" w:cs="仿宋"/>
          <w:sz w:val="32"/>
          <w:szCs w:val="32"/>
          <w:lang w:eastAsia="zh-CN"/>
        </w:rPr>
        <w:t>；</w:t>
      </w:r>
    </w:p>
    <w:p w14:paraId="61985CF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5</w:t>
      </w:r>
      <w:r>
        <w:rPr>
          <w:rFonts w:hint="eastAsia" w:ascii="仿宋" w:hAnsi="仿宋" w:eastAsia="仿宋" w:cs="仿宋"/>
          <w:sz w:val="32"/>
          <w:szCs w:val="32"/>
          <w:lang w:val="en-US" w:eastAsia="zh-CN"/>
        </w:rPr>
        <w:t>.</w:t>
      </w:r>
      <w:r>
        <w:rPr>
          <w:rFonts w:hint="default" w:ascii="仿宋" w:hAnsi="仿宋" w:eastAsia="仿宋" w:cs="仿宋"/>
          <w:sz w:val="32"/>
          <w:szCs w:val="32"/>
        </w:rPr>
        <w:t>《村庄绿化技术规程》（DB33/T842-2022）</w:t>
      </w:r>
      <w:r>
        <w:rPr>
          <w:rFonts w:hint="default" w:ascii="仿宋" w:hAnsi="仿宋" w:eastAsia="仿宋" w:cs="仿宋"/>
          <w:sz w:val="32"/>
          <w:szCs w:val="32"/>
          <w:lang w:eastAsia="zh-CN"/>
        </w:rPr>
        <w:t>；</w:t>
      </w:r>
    </w:p>
    <w:p w14:paraId="751098D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6</w:t>
      </w:r>
      <w:r>
        <w:rPr>
          <w:rFonts w:hint="eastAsia" w:ascii="仿宋" w:hAnsi="仿宋" w:eastAsia="仿宋" w:cs="仿宋"/>
          <w:sz w:val="32"/>
          <w:szCs w:val="32"/>
          <w:lang w:val="en-US" w:eastAsia="zh-CN"/>
        </w:rPr>
        <w:t>.</w:t>
      </w:r>
      <w:r>
        <w:rPr>
          <w:rFonts w:hint="default" w:ascii="仿宋" w:hAnsi="仿宋" w:eastAsia="仿宋" w:cs="仿宋"/>
          <w:sz w:val="32"/>
          <w:szCs w:val="32"/>
        </w:rPr>
        <w:t>《镇村公交场、站设施规范》（DB3304/T014-2018）</w:t>
      </w:r>
      <w:r>
        <w:rPr>
          <w:rFonts w:hint="default" w:ascii="仿宋" w:hAnsi="仿宋" w:eastAsia="仿宋" w:cs="仿宋"/>
          <w:sz w:val="32"/>
          <w:szCs w:val="32"/>
          <w:lang w:eastAsia="zh-CN"/>
        </w:rPr>
        <w:t>；</w:t>
      </w:r>
    </w:p>
    <w:p w14:paraId="25D192A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7</w:t>
      </w:r>
      <w:r>
        <w:rPr>
          <w:rFonts w:hint="eastAsia" w:ascii="仿宋" w:hAnsi="仿宋" w:eastAsia="仿宋" w:cs="仿宋"/>
          <w:sz w:val="32"/>
          <w:szCs w:val="32"/>
          <w:lang w:val="en-US" w:eastAsia="zh-CN"/>
        </w:rPr>
        <w:t>.</w:t>
      </w:r>
      <w:r>
        <w:rPr>
          <w:rFonts w:hint="default" w:ascii="仿宋" w:hAnsi="仿宋" w:eastAsia="仿宋" w:cs="仿宋"/>
          <w:sz w:val="32"/>
          <w:szCs w:val="32"/>
        </w:rPr>
        <w:t>《农村防火规范》（GB 50039-2010）</w:t>
      </w:r>
      <w:r>
        <w:rPr>
          <w:rFonts w:hint="default" w:ascii="仿宋" w:hAnsi="仿宋" w:eastAsia="仿宋" w:cs="仿宋"/>
          <w:sz w:val="32"/>
          <w:szCs w:val="32"/>
          <w:lang w:eastAsia="zh-CN"/>
        </w:rPr>
        <w:t>；</w:t>
      </w:r>
    </w:p>
    <w:p w14:paraId="0D48870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8</w:t>
      </w:r>
      <w:r>
        <w:rPr>
          <w:rFonts w:hint="eastAsia" w:ascii="仿宋" w:hAnsi="仿宋" w:eastAsia="仿宋" w:cs="仿宋"/>
          <w:sz w:val="32"/>
          <w:szCs w:val="32"/>
          <w:lang w:val="en-US" w:eastAsia="zh-CN"/>
        </w:rPr>
        <w:t>.</w:t>
      </w:r>
      <w:r>
        <w:rPr>
          <w:rFonts w:hint="default" w:ascii="仿宋" w:hAnsi="仿宋" w:eastAsia="仿宋" w:cs="仿宋"/>
          <w:sz w:val="32"/>
          <w:szCs w:val="32"/>
        </w:rPr>
        <w:t>《建筑防火通用规范》（GB 55037-2022）</w:t>
      </w:r>
      <w:r>
        <w:rPr>
          <w:rFonts w:hint="default" w:ascii="仿宋" w:hAnsi="仿宋" w:eastAsia="仿宋" w:cs="仿宋"/>
          <w:sz w:val="32"/>
          <w:szCs w:val="32"/>
          <w:lang w:eastAsia="zh-CN"/>
        </w:rPr>
        <w:t>；</w:t>
      </w:r>
    </w:p>
    <w:p w14:paraId="0D73779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19</w:t>
      </w:r>
      <w:r>
        <w:rPr>
          <w:rFonts w:hint="eastAsia" w:ascii="仿宋" w:hAnsi="仿宋" w:eastAsia="仿宋" w:cs="仿宋"/>
          <w:sz w:val="32"/>
          <w:szCs w:val="32"/>
          <w:lang w:val="en-US" w:eastAsia="zh-CN"/>
        </w:rPr>
        <w:t>.</w:t>
      </w:r>
      <w:r>
        <w:rPr>
          <w:rFonts w:hint="default" w:ascii="仿宋" w:hAnsi="仿宋" w:eastAsia="仿宋" w:cs="仿宋"/>
          <w:sz w:val="32"/>
          <w:szCs w:val="32"/>
        </w:rPr>
        <w:t>《广西壮族自治区建设用地控制指标（2021年修订）》</w:t>
      </w:r>
      <w:r>
        <w:rPr>
          <w:rFonts w:hint="default" w:ascii="仿宋" w:hAnsi="仿宋" w:eastAsia="仿宋" w:cs="仿宋"/>
          <w:sz w:val="32"/>
          <w:szCs w:val="32"/>
          <w:lang w:eastAsia="zh-CN"/>
        </w:rPr>
        <w:t>；</w:t>
      </w:r>
    </w:p>
    <w:p w14:paraId="0D57E7A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20</w:t>
      </w:r>
      <w:r>
        <w:rPr>
          <w:rFonts w:hint="eastAsia" w:ascii="仿宋" w:hAnsi="仿宋" w:eastAsia="仿宋" w:cs="仿宋"/>
          <w:sz w:val="32"/>
          <w:szCs w:val="32"/>
          <w:lang w:val="en-US" w:eastAsia="zh-CN"/>
        </w:rPr>
        <w:t>.</w:t>
      </w:r>
      <w:r>
        <w:rPr>
          <w:rFonts w:hint="default" w:ascii="仿宋" w:hAnsi="仿宋" w:eastAsia="仿宋" w:cs="仿宋"/>
          <w:sz w:val="32"/>
          <w:szCs w:val="32"/>
        </w:rPr>
        <w:t>《广西壮族自治区义务教育学校办学基本标准（试行）》</w:t>
      </w:r>
      <w:r>
        <w:rPr>
          <w:rFonts w:hint="default" w:ascii="仿宋" w:hAnsi="仿宋" w:eastAsia="仿宋" w:cs="仿宋"/>
          <w:sz w:val="32"/>
          <w:szCs w:val="32"/>
          <w:lang w:eastAsia="zh-CN"/>
        </w:rPr>
        <w:t>；</w:t>
      </w:r>
    </w:p>
    <w:p w14:paraId="3FCF48F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21</w:t>
      </w:r>
      <w:r>
        <w:rPr>
          <w:rFonts w:hint="eastAsia" w:ascii="仿宋" w:hAnsi="仿宋" w:eastAsia="仿宋" w:cs="仿宋"/>
          <w:sz w:val="32"/>
          <w:szCs w:val="32"/>
          <w:lang w:val="en-US" w:eastAsia="zh-CN"/>
        </w:rPr>
        <w:t>.</w:t>
      </w:r>
      <w:r>
        <w:rPr>
          <w:rFonts w:hint="default" w:ascii="仿宋" w:hAnsi="仿宋" w:eastAsia="仿宋" w:cs="仿宋"/>
          <w:sz w:val="32"/>
          <w:szCs w:val="32"/>
        </w:rPr>
        <w:t>《广西壮族自治区农村房屋特色风貌管控导则》</w:t>
      </w:r>
      <w:r>
        <w:rPr>
          <w:rFonts w:hint="default" w:ascii="仿宋" w:hAnsi="仿宋" w:eastAsia="仿宋" w:cs="仿宋"/>
          <w:sz w:val="32"/>
          <w:szCs w:val="32"/>
          <w:lang w:eastAsia="zh-CN"/>
        </w:rPr>
        <w:t>；</w:t>
      </w:r>
    </w:p>
    <w:p w14:paraId="135118B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cs="仿宋"/>
          <w:sz w:val="32"/>
          <w:szCs w:val="32"/>
          <w:lang w:val="en-US" w:eastAsia="zh-CN"/>
        </w:rPr>
        <w:t>2</w:t>
      </w:r>
      <w:r>
        <w:rPr>
          <w:rFonts w:hint="eastAsia" w:ascii="仿宋" w:hAnsi="仿宋" w:eastAsia="仿宋" w:cs="仿宋"/>
          <w:sz w:val="32"/>
          <w:szCs w:val="32"/>
          <w:lang w:val="en-US" w:eastAsia="zh-CN"/>
        </w:rPr>
        <w:t>.</w:t>
      </w:r>
      <w:r>
        <w:rPr>
          <w:rFonts w:hint="default" w:ascii="仿宋" w:hAnsi="仿宋" w:eastAsia="仿宋" w:cs="仿宋"/>
          <w:sz w:val="32"/>
          <w:szCs w:val="32"/>
        </w:rPr>
        <w:t>《广西农村公共服务中心建设工程指导手册》</w:t>
      </w:r>
      <w:r>
        <w:rPr>
          <w:rFonts w:hint="default" w:ascii="仿宋" w:hAnsi="仿宋" w:eastAsia="仿宋" w:cs="仿宋"/>
          <w:sz w:val="32"/>
          <w:szCs w:val="32"/>
          <w:lang w:eastAsia="zh-CN"/>
        </w:rPr>
        <w:t>；</w:t>
      </w:r>
    </w:p>
    <w:p w14:paraId="156267E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cs="仿宋"/>
          <w:sz w:val="32"/>
          <w:szCs w:val="32"/>
          <w:lang w:val="en-US" w:eastAsia="zh-CN"/>
        </w:rPr>
        <w:t>3</w:t>
      </w:r>
      <w:r>
        <w:rPr>
          <w:rFonts w:hint="eastAsia" w:ascii="仿宋" w:hAnsi="仿宋" w:eastAsia="仿宋" w:cs="仿宋"/>
          <w:sz w:val="32"/>
          <w:szCs w:val="32"/>
          <w:lang w:val="en-US" w:eastAsia="zh-CN"/>
        </w:rPr>
        <w:t>.</w:t>
      </w:r>
      <w:r>
        <w:rPr>
          <w:rFonts w:hint="default" w:ascii="仿宋" w:hAnsi="仿宋" w:eastAsia="仿宋" w:cs="仿宋"/>
          <w:sz w:val="32"/>
          <w:szCs w:val="32"/>
        </w:rPr>
        <w:t>《广西壮族自治区低成本实用性简易型村庄规</w:t>
      </w:r>
      <w:r>
        <w:rPr>
          <w:rFonts w:hint="default" w:ascii="仿宋" w:hAnsi="仿宋" w:eastAsia="仿宋" w:cs="仿宋"/>
          <w:sz w:val="32"/>
          <w:szCs w:val="32"/>
          <w:lang w:val="en-US" w:eastAsia="zh-CN"/>
        </w:rPr>
        <w:t>划编</w:t>
      </w:r>
      <w:r>
        <w:rPr>
          <w:rFonts w:hint="default" w:ascii="仿宋" w:hAnsi="仿宋" w:eastAsia="仿宋" w:cs="仿宋"/>
          <w:sz w:val="32"/>
          <w:szCs w:val="32"/>
        </w:rPr>
        <w:t>制技术导则（试行）》</w:t>
      </w:r>
      <w:r>
        <w:rPr>
          <w:rFonts w:hint="default" w:ascii="仿宋" w:hAnsi="仿宋" w:eastAsia="仿宋" w:cs="仿宋"/>
          <w:sz w:val="32"/>
          <w:szCs w:val="32"/>
          <w:lang w:eastAsia="zh-CN"/>
        </w:rPr>
        <w:t>；</w:t>
      </w:r>
    </w:p>
    <w:p w14:paraId="78C9C75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cs="仿宋"/>
          <w:sz w:val="32"/>
          <w:szCs w:val="32"/>
          <w:lang w:val="en-US" w:eastAsia="zh-CN"/>
        </w:rPr>
        <w:t>4</w:t>
      </w:r>
      <w:r>
        <w:rPr>
          <w:rFonts w:hint="eastAsia" w:ascii="仿宋" w:hAnsi="仿宋" w:eastAsia="仿宋" w:cs="仿宋"/>
          <w:sz w:val="32"/>
          <w:szCs w:val="32"/>
          <w:lang w:val="en-US" w:eastAsia="zh-CN"/>
        </w:rPr>
        <w:t>.</w:t>
      </w:r>
      <w:r>
        <w:rPr>
          <w:rFonts w:hint="default" w:ascii="仿宋" w:hAnsi="仿宋" w:eastAsia="仿宋" w:cs="仿宋"/>
          <w:sz w:val="32"/>
          <w:szCs w:val="32"/>
        </w:rPr>
        <w:t>《桂林市村庄规划编制技术导则（试行）》</w:t>
      </w:r>
      <w:r>
        <w:rPr>
          <w:rFonts w:hint="eastAsia" w:ascii="仿宋" w:hAnsi="仿宋" w:eastAsia="仿宋" w:cs="仿宋"/>
          <w:sz w:val="32"/>
          <w:szCs w:val="32"/>
          <w:lang w:eastAsia="zh-CN"/>
        </w:rPr>
        <w:t>；</w:t>
      </w:r>
    </w:p>
    <w:p w14:paraId="07F2413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cs="仿宋"/>
          <w:sz w:val="32"/>
          <w:szCs w:val="32"/>
          <w:lang w:val="en-US" w:eastAsia="zh-CN"/>
        </w:rPr>
        <w:t>5</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《桂林市城市规划管理技术规定》</w:t>
      </w:r>
      <w:r>
        <w:rPr>
          <w:rFonts w:hint="default" w:ascii="仿宋" w:hAnsi="仿宋" w:eastAsia="仿宋" w:cs="仿宋"/>
          <w:sz w:val="32"/>
          <w:szCs w:val="32"/>
          <w:lang w:eastAsia="zh-CN"/>
        </w:rPr>
        <w:t>。</w:t>
      </w:r>
    </w:p>
    <w:p w14:paraId="05D25F30">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（三）政策文件</w:t>
      </w:r>
    </w:p>
    <w:p w14:paraId="06EEC06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中共中央 国务院关于进一步深化农村改革扎实推进乡村全面振兴的意见（2025年中央一号文件）；</w:t>
      </w:r>
    </w:p>
    <w:p w14:paraId="320DAAD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bookmarkStart w:id="169" w:name="OLE_LINK2"/>
      <w:r>
        <w:rPr>
          <w:rFonts w:hint="eastAsia" w:ascii="仿宋" w:hAnsi="仿宋" w:eastAsia="仿宋" w:cs="仿宋"/>
          <w:sz w:val="32"/>
          <w:szCs w:val="32"/>
          <w:lang w:val="en-US" w:eastAsia="zh-CN"/>
        </w:rPr>
        <w:t>2.中共中央 国务院</w:t>
      </w:r>
      <w:r>
        <w:rPr>
          <w:rFonts w:hint="default" w:ascii="仿宋" w:hAnsi="仿宋" w:eastAsia="仿宋" w:cs="仿宋"/>
          <w:sz w:val="32"/>
          <w:szCs w:val="32"/>
          <w:lang w:val="en-US" w:eastAsia="zh-CN"/>
        </w:rPr>
        <w:t>关于学习运用“千村示范、万村整治”工程经验有力有效推进乡村全面振兴的意见（2024年中央一号文件）</w:t>
      </w:r>
      <w:bookmarkEnd w:id="169"/>
      <w:r>
        <w:rPr>
          <w:rFonts w:hint="default" w:ascii="仿宋" w:hAnsi="仿宋" w:eastAsia="仿宋" w:cs="仿宋"/>
          <w:sz w:val="32"/>
          <w:szCs w:val="32"/>
          <w:lang w:val="en-US" w:eastAsia="zh-CN"/>
        </w:rPr>
        <w:t>；</w:t>
      </w:r>
    </w:p>
    <w:p w14:paraId="7612B83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中共中央</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国务院关于建立国土空间规划体系并监督实施的若干意见（中发〔2019〕18号）；</w:t>
      </w:r>
    </w:p>
    <w:p w14:paraId="4D31822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自然资源部</w:t>
      </w:r>
      <w:r>
        <w:rPr>
          <w:rFonts w:hint="eastAsia" w:ascii="仿宋" w:hAnsi="仿宋" w:cs="仿宋"/>
          <w:sz w:val="32"/>
          <w:szCs w:val="32"/>
          <w:lang w:val="en-US" w:eastAsia="zh-CN"/>
        </w:rPr>
        <w:t xml:space="preserve"> </w:t>
      </w:r>
      <w:r>
        <w:rPr>
          <w:rFonts w:hint="default" w:ascii="仿宋" w:hAnsi="仿宋" w:eastAsia="仿宋" w:cs="仿宋"/>
          <w:sz w:val="32"/>
          <w:szCs w:val="32"/>
          <w:lang w:val="en-US" w:eastAsia="zh-CN"/>
        </w:rPr>
        <w:t>中央农村工作领导小组办公室关于学习运用“千万工程”经验提高村庄规划编制质量和实效的通知（自然资发〔2024〕1号）；</w:t>
      </w:r>
    </w:p>
    <w:p w14:paraId="2CDBB94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rPr>
        <w:t>自然资源部办公厅关于加强村庄规划促进乡村振兴的通知（自然资办发〔2019〕35号）</w:t>
      </w:r>
      <w:r>
        <w:rPr>
          <w:rFonts w:hint="default" w:ascii="仿宋" w:hAnsi="仿宋" w:eastAsia="仿宋" w:cs="仿宋"/>
          <w:sz w:val="32"/>
          <w:szCs w:val="32"/>
          <w:lang w:eastAsia="zh-CN"/>
        </w:rPr>
        <w:t>；</w:t>
      </w:r>
    </w:p>
    <w:p w14:paraId="24C3776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6.</w:t>
      </w:r>
      <w:r>
        <w:rPr>
          <w:rFonts w:hint="default" w:ascii="仿宋" w:hAnsi="仿宋" w:eastAsia="仿宋" w:cs="仿宋"/>
          <w:sz w:val="32"/>
          <w:szCs w:val="32"/>
        </w:rPr>
        <w:t>自然资源部关于深化规划用地</w:t>
      </w:r>
      <w:r>
        <w:rPr>
          <w:rFonts w:hint="default" w:ascii="仿宋" w:hAnsi="仿宋" w:eastAsia="仿宋" w:cs="仿宋"/>
          <w:sz w:val="32"/>
          <w:szCs w:val="32"/>
          <w:lang w:eastAsia="zh-CN"/>
        </w:rPr>
        <w:t>“</w:t>
      </w:r>
      <w:r>
        <w:rPr>
          <w:rFonts w:hint="default" w:ascii="仿宋" w:hAnsi="仿宋" w:eastAsia="仿宋" w:cs="仿宋"/>
          <w:sz w:val="32"/>
          <w:szCs w:val="32"/>
        </w:rPr>
        <w:t>多审合一、多证合一</w:t>
      </w:r>
      <w:r>
        <w:rPr>
          <w:rFonts w:hint="default" w:ascii="仿宋" w:hAnsi="仿宋" w:eastAsia="仿宋" w:cs="仿宋"/>
          <w:sz w:val="32"/>
          <w:szCs w:val="32"/>
          <w:lang w:eastAsia="zh-CN"/>
        </w:rPr>
        <w:t>”</w:t>
      </w:r>
      <w:r>
        <w:rPr>
          <w:rFonts w:hint="default" w:ascii="仿宋" w:hAnsi="仿宋" w:eastAsia="仿宋" w:cs="仿宋"/>
          <w:sz w:val="32"/>
          <w:szCs w:val="32"/>
        </w:rPr>
        <w:t>改革的通知（自然资发〔2023〕69号）</w:t>
      </w:r>
      <w:r>
        <w:rPr>
          <w:rFonts w:hint="default" w:ascii="仿宋" w:hAnsi="仿宋" w:eastAsia="仿宋" w:cs="仿宋"/>
          <w:sz w:val="32"/>
          <w:szCs w:val="32"/>
          <w:lang w:eastAsia="zh-CN"/>
        </w:rPr>
        <w:t>；</w:t>
      </w:r>
    </w:p>
    <w:p w14:paraId="69AF020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7.</w:t>
      </w:r>
      <w:r>
        <w:rPr>
          <w:rFonts w:hint="default" w:ascii="仿宋" w:hAnsi="仿宋" w:eastAsia="仿宋" w:cs="仿宋"/>
          <w:sz w:val="32"/>
          <w:szCs w:val="32"/>
        </w:rPr>
        <w:t>自然资源部办公厅关于印发《乡村振兴用地政策指南（2023年）》的通知（自然资办发〔2023〕48号）</w:t>
      </w:r>
      <w:r>
        <w:rPr>
          <w:rFonts w:hint="default" w:ascii="仿宋" w:hAnsi="仿宋" w:eastAsia="仿宋" w:cs="仿宋"/>
          <w:sz w:val="32"/>
          <w:szCs w:val="32"/>
          <w:lang w:eastAsia="zh-CN"/>
        </w:rPr>
        <w:t>；</w:t>
      </w:r>
    </w:p>
    <w:p w14:paraId="1A3667C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w:t>
      </w:r>
      <w:r>
        <w:rPr>
          <w:rFonts w:hint="default" w:ascii="仿宋" w:hAnsi="仿宋" w:eastAsia="仿宋" w:cs="仿宋"/>
          <w:sz w:val="32"/>
          <w:szCs w:val="32"/>
        </w:rPr>
        <w:t>自然资源部</w:t>
      </w:r>
      <w:r>
        <w:rPr>
          <w:rFonts w:hint="default" w:ascii="仿宋" w:hAnsi="仿宋" w:eastAsia="仿宋" w:cs="仿宋"/>
          <w:sz w:val="32"/>
          <w:szCs w:val="32"/>
          <w:lang w:val="en-US" w:eastAsia="zh-CN"/>
        </w:rPr>
        <w:t xml:space="preserve"> </w:t>
      </w:r>
      <w:r>
        <w:rPr>
          <w:rFonts w:hint="default" w:ascii="仿宋" w:hAnsi="仿宋" w:eastAsia="仿宋" w:cs="仿宋"/>
          <w:sz w:val="32"/>
          <w:szCs w:val="32"/>
        </w:rPr>
        <w:t>农业农村部关于保障农村村民住宅建设合理用地的通知</w:t>
      </w:r>
      <w:r>
        <w:rPr>
          <w:rFonts w:hint="default" w:ascii="仿宋" w:hAnsi="仿宋" w:eastAsia="仿宋" w:cs="仿宋"/>
          <w:sz w:val="32"/>
          <w:szCs w:val="32"/>
          <w:lang w:val="en-US" w:eastAsia="zh-CN"/>
        </w:rPr>
        <w:t>（自然资发〔2020〕128号）；</w:t>
      </w:r>
    </w:p>
    <w:p w14:paraId="77741B8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9.</w:t>
      </w:r>
      <w:r>
        <w:rPr>
          <w:rFonts w:hint="default" w:ascii="仿宋" w:hAnsi="仿宋" w:eastAsia="仿宋" w:cs="仿宋"/>
          <w:sz w:val="32"/>
          <w:szCs w:val="32"/>
        </w:rPr>
        <w:t>自然资源部</w:t>
      </w:r>
      <w:r>
        <w:rPr>
          <w:rFonts w:hint="default" w:ascii="仿宋" w:hAnsi="仿宋" w:eastAsia="仿宋" w:cs="仿宋"/>
          <w:sz w:val="32"/>
          <w:szCs w:val="32"/>
          <w:lang w:val="en-US" w:eastAsia="zh-CN"/>
        </w:rPr>
        <w:t xml:space="preserve"> </w:t>
      </w:r>
      <w:r>
        <w:rPr>
          <w:rFonts w:hint="default" w:ascii="仿宋" w:hAnsi="仿宋" w:eastAsia="仿宋" w:cs="仿宋"/>
          <w:sz w:val="32"/>
          <w:szCs w:val="32"/>
        </w:rPr>
        <w:t>农业农村部</w:t>
      </w:r>
      <w:r>
        <w:rPr>
          <w:rFonts w:hint="default" w:ascii="仿宋" w:hAnsi="仿宋" w:eastAsia="仿宋" w:cs="仿宋"/>
          <w:sz w:val="32"/>
          <w:szCs w:val="32"/>
          <w:lang w:val="en-US" w:eastAsia="zh-CN"/>
        </w:rPr>
        <w:t xml:space="preserve"> </w:t>
      </w:r>
      <w:r>
        <w:rPr>
          <w:rFonts w:hint="default" w:ascii="仿宋" w:hAnsi="仿宋" w:eastAsia="仿宋" w:cs="仿宋"/>
          <w:sz w:val="32"/>
          <w:szCs w:val="32"/>
        </w:rPr>
        <w:t>国家林业和草原局联合印发《关于严格耕地用途管制有关问题的通知》（自然资发〔2021〕166号</w:t>
      </w:r>
      <w:r>
        <w:rPr>
          <w:rFonts w:hint="default" w:ascii="仿宋" w:hAnsi="仿宋" w:eastAsia="仿宋" w:cs="仿宋"/>
          <w:sz w:val="32"/>
          <w:szCs w:val="32"/>
          <w:lang w:eastAsia="zh-CN"/>
        </w:rPr>
        <w:t>）；</w:t>
      </w:r>
    </w:p>
    <w:p w14:paraId="48CF5FE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10.</w:t>
      </w:r>
      <w:r>
        <w:rPr>
          <w:rFonts w:hint="default" w:ascii="仿宋" w:hAnsi="仿宋" w:eastAsia="仿宋" w:cs="仿宋"/>
          <w:sz w:val="32"/>
          <w:szCs w:val="32"/>
        </w:rPr>
        <w:t>《产业结构调整指导目录（2024年本）</w:t>
      </w:r>
      <w:r>
        <w:rPr>
          <w:rFonts w:hint="default" w:ascii="仿宋" w:hAnsi="仿宋" w:eastAsia="仿宋" w:cs="仿宋"/>
          <w:sz w:val="32"/>
          <w:szCs w:val="32"/>
          <w:lang w:eastAsia="zh-CN"/>
        </w:rPr>
        <w:t>》（</w:t>
      </w:r>
      <w:r>
        <w:rPr>
          <w:rFonts w:hint="default" w:ascii="仿宋" w:hAnsi="仿宋" w:eastAsia="仿宋" w:cs="仿宋"/>
          <w:sz w:val="32"/>
          <w:szCs w:val="32"/>
        </w:rPr>
        <w:t>中华人民共和国国家发展和改革委员会令第 7 号</w:t>
      </w:r>
      <w:r>
        <w:rPr>
          <w:rFonts w:hint="default" w:ascii="仿宋" w:hAnsi="仿宋" w:eastAsia="仿宋" w:cs="仿宋"/>
          <w:sz w:val="32"/>
          <w:szCs w:val="32"/>
          <w:lang w:eastAsia="zh-CN"/>
        </w:rPr>
        <w:t>）；</w:t>
      </w:r>
    </w:p>
    <w:p w14:paraId="201B633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11.</w:t>
      </w:r>
      <w:r>
        <w:rPr>
          <w:rFonts w:hint="default" w:ascii="仿宋" w:hAnsi="仿宋" w:eastAsia="仿宋" w:cs="仿宋"/>
          <w:sz w:val="32"/>
          <w:szCs w:val="32"/>
        </w:rPr>
        <w:t>自然资源部 国家发展和改革委员会 国家林业和草原局关于印发</w:t>
      </w:r>
      <w:r>
        <w:rPr>
          <w:rFonts w:hint="default" w:ascii="仿宋" w:hAnsi="仿宋" w:eastAsia="仿宋" w:cs="仿宋"/>
          <w:sz w:val="32"/>
          <w:szCs w:val="32"/>
          <w:lang w:eastAsia="zh-CN"/>
        </w:rPr>
        <w:t>《</w:t>
      </w:r>
      <w:r>
        <w:rPr>
          <w:rFonts w:hint="default" w:ascii="仿宋" w:hAnsi="仿宋" w:eastAsia="仿宋" w:cs="仿宋"/>
          <w:sz w:val="32"/>
          <w:szCs w:val="32"/>
        </w:rPr>
        <w:t>自然资源要素支撑产业高质量发展指导目录（2024年本）》的通知（自然资发〔2024〕</w:t>
      </w:r>
      <w:r>
        <w:rPr>
          <w:rFonts w:hint="default" w:ascii="仿宋" w:hAnsi="仿宋" w:eastAsia="仿宋" w:cs="仿宋"/>
          <w:sz w:val="32"/>
          <w:szCs w:val="32"/>
          <w:lang w:val="en-US" w:eastAsia="zh-CN"/>
        </w:rPr>
        <w:t>273</w:t>
      </w:r>
      <w:r>
        <w:rPr>
          <w:rFonts w:hint="default" w:ascii="仿宋" w:hAnsi="仿宋" w:eastAsia="仿宋" w:cs="仿宋"/>
          <w:sz w:val="32"/>
          <w:szCs w:val="32"/>
        </w:rPr>
        <w:t>号）</w:t>
      </w:r>
      <w:r>
        <w:rPr>
          <w:rFonts w:hint="default" w:ascii="仿宋" w:hAnsi="仿宋" w:eastAsia="仿宋" w:cs="仿宋"/>
          <w:sz w:val="32"/>
          <w:szCs w:val="32"/>
          <w:lang w:eastAsia="zh-CN"/>
        </w:rPr>
        <w:t>；</w:t>
      </w:r>
    </w:p>
    <w:p w14:paraId="5E94CBC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12.</w:t>
      </w:r>
      <w:r>
        <w:rPr>
          <w:rFonts w:hint="default" w:ascii="仿宋" w:hAnsi="仿宋" w:eastAsia="仿宋" w:cs="仿宋"/>
          <w:sz w:val="32"/>
          <w:szCs w:val="32"/>
          <w:lang w:val="en-US" w:eastAsia="zh-CN"/>
        </w:rPr>
        <w:t>自然资源部 国家发展改革委 农业农村部关于保障和规范农村一二三产业融合发展用地的通知（自然资发〔2021〕16号）；</w:t>
      </w:r>
    </w:p>
    <w:p w14:paraId="0DF6EE1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13.</w:t>
      </w:r>
      <w:r>
        <w:rPr>
          <w:rFonts w:hint="default" w:ascii="仿宋" w:hAnsi="仿宋" w:eastAsia="仿宋" w:cs="仿宋"/>
          <w:sz w:val="32"/>
          <w:szCs w:val="32"/>
        </w:rPr>
        <w:t>自治区党委</w:t>
      </w:r>
      <w:r>
        <w:rPr>
          <w:rFonts w:hint="eastAsia" w:ascii="仿宋" w:hAnsi="仿宋" w:cs="仿宋"/>
          <w:sz w:val="32"/>
          <w:szCs w:val="32"/>
          <w:lang w:val="en-US" w:eastAsia="zh-CN"/>
        </w:rPr>
        <w:t xml:space="preserve"> </w:t>
      </w:r>
      <w:r>
        <w:rPr>
          <w:rFonts w:hint="default" w:ascii="仿宋" w:hAnsi="仿宋" w:eastAsia="仿宋" w:cs="仿宋"/>
          <w:sz w:val="32"/>
          <w:szCs w:val="32"/>
        </w:rPr>
        <w:t>自治区人民政府关于印发《广西建立国土空间规划体系并监督实施的实施方案》的通知（桂发〔2019〕23号）</w:t>
      </w:r>
      <w:r>
        <w:rPr>
          <w:rFonts w:hint="default" w:ascii="仿宋" w:hAnsi="仿宋" w:eastAsia="仿宋" w:cs="仿宋"/>
          <w:sz w:val="32"/>
          <w:szCs w:val="32"/>
          <w:lang w:eastAsia="zh-CN"/>
        </w:rPr>
        <w:t>；</w:t>
      </w:r>
    </w:p>
    <w:p w14:paraId="5C800F3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14.</w:t>
      </w:r>
      <w:r>
        <w:rPr>
          <w:rFonts w:hint="default" w:ascii="仿宋" w:hAnsi="仿宋" w:eastAsia="仿宋" w:cs="仿宋"/>
          <w:sz w:val="32"/>
          <w:szCs w:val="32"/>
        </w:rPr>
        <w:t>自治区住房城乡建设厅</w:t>
      </w:r>
      <w:r>
        <w:rPr>
          <w:rFonts w:hint="eastAsia" w:ascii="仿宋" w:hAnsi="仿宋" w:eastAsia="仿宋" w:cs="仿宋"/>
          <w:sz w:val="32"/>
          <w:szCs w:val="32"/>
          <w:lang w:val="en-US" w:eastAsia="zh-CN"/>
        </w:rPr>
        <w:t xml:space="preserve"> </w:t>
      </w:r>
      <w:r>
        <w:rPr>
          <w:rFonts w:hint="default" w:ascii="仿宋" w:hAnsi="仿宋" w:eastAsia="仿宋" w:cs="仿宋"/>
          <w:sz w:val="32"/>
          <w:szCs w:val="32"/>
        </w:rPr>
        <w:t>自治区自然资源厅</w:t>
      </w:r>
      <w:r>
        <w:rPr>
          <w:rFonts w:hint="eastAsia" w:ascii="仿宋" w:hAnsi="仿宋" w:eastAsia="仿宋" w:cs="仿宋"/>
          <w:sz w:val="32"/>
          <w:szCs w:val="32"/>
          <w:lang w:val="en-US" w:eastAsia="zh-CN"/>
        </w:rPr>
        <w:t xml:space="preserve"> </w:t>
      </w:r>
      <w:r>
        <w:rPr>
          <w:rFonts w:hint="default" w:ascii="仿宋" w:hAnsi="仿宋" w:eastAsia="仿宋" w:cs="仿宋"/>
          <w:sz w:val="32"/>
          <w:szCs w:val="32"/>
        </w:rPr>
        <w:t>自治区农业农村厅关于印发加强</w:t>
      </w:r>
      <w:r>
        <w:rPr>
          <w:rFonts w:hint="default" w:ascii="仿宋" w:hAnsi="仿宋" w:eastAsia="仿宋" w:cs="仿宋"/>
          <w:sz w:val="32"/>
          <w:szCs w:val="32"/>
          <w:lang w:eastAsia="zh-CN"/>
        </w:rPr>
        <w:t>我</w:t>
      </w:r>
      <w:r>
        <w:rPr>
          <w:rFonts w:hint="eastAsia" w:ascii="仿宋" w:hAnsi="仿宋" w:eastAsia="仿宋" w:cs="仿宋"/>
          <w:sz w:val="32"/>
          <w:szCs w:val="32"/>
          <w:lang w:eastAsia="zh-CN"/>
        </w:rPr>
        <w:t>区</w:t>
      </w:r>
      <w:r>
        <w:rPr>
          <w:rFonts w:hint="default" w:ascii="仿宋" w:hAnsi="仿宋" w:eastAsia="仿宋" w:cs="仿宋"/>
          <w:sz w:val="32"/>
          <w:szCs w:val="32"/>
        </w:rPr>
        <w:t>农房管控的实施意见的通知（桂建发〔2020〕3号）</w:t>
      </w:r>
      <w:r>
        <w:rPr>
          <w:rFonts w:hint="default" w:ascii="仿宋" w:hAnsi="仿宋" w:eastAsia="仿宋" w:cs="仿宋"/>
          <w:sz w:val="32"/>
          <w:szCs w:val="32"/>
          <w:lang w:eastAsia="zh-CN"/>
        </w:rPr>
        <w:t>；</w:t>
      </w:r>
    </w:p>
    <w:p w14:paraId="6E4A2C3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15.</w:t>
      </w:r>
      <w:r>
        <w:rPr>
          <w:rFonts w:hint="default" w:ascii="仿宋" w:hAnsi="仿宋" w:eastAsia="仿宋" w:cs="仿宋"/>
          <w:sz w:val="32"/>
          <w:szCs w:val="32"/>
        </w:rPr>
        <w:t>自然资源厅</w:t>
      </w:r>
      <w:r>
        <w:rPr>
          <w:rFonts w:hint="eastAsia" w:ascii="仿宋" w:hAnsi="仿宋" w:cs="仿宋"/>
          <w:sz w:val="32"/>
          <w:szCs w:val="32"/>
          <w:lang w:val="en-US" w:eastAsia="zh-CN"/>
        </w:rPr>
        <w:t xml:space="preserve"> </w:t>
      </w:r>
      <w:r>
        <w:rPr>
          <w:rFonts w:hint="default" w:ascii="仿宋" w:hAnsi="仿宋" w:eastAsia="仿宋" w:cs="仿宋"/>
          <w:sz w:val="32"/>
          <w:szCs w:val="32"/>
        </w:rPr>
        <w:t>中共广西壮族自治区委员会农村工作领导小组办公室关于学习运用</w:t>
      </w:r>
      <w:r>
        <w:rPr>
          <w:rFonts w:hint="default" w:ascii="仿宋" w:hAnsi="仿宋" w:eastAsia="仿宋" w:cs="仿宋"/>
          <w:sz w:val="32"/>
          <w:szCs w:val="32"/>
          <w:lang w:eastAsia="zh-CN"/>
        </w:rPr>
        <w:t>“</w:t>
      </w:r>
      <w:r>
        <w:rPr>
          <w:rFonts w:hint="default" w:ascii="仿宋" w:hAnsi="仿宋" w:eastAsia="仿宋" w:cs="仿宋"/>
          <w:sz w:val="32"/>
          <w:szCs w:val="32"/>
        </w:rPr>
        <w:t>千万工程</w:t>
      </w:r>
      <w:r>
        <w:rPr>
          <w:rFonts w:hint="default" w:ascii="仿宋" w:hAnsi="仿宋" w:eastAsia="仿宋" w:cs="仿宋"/>
          <w:sz w:val="32"/>
          <w:szCs w:val="32"/>
          <w:lang w:eastAsia="zh-CN"/>
        </w:rPr>
        <w:t>”</w:t>
      </w:r>
      <w:r>
        <w:rPr>
          <w:rFonts w:hint="default" w:ascii="仿宋" w:hAnsi="仿宋" w:eastAsia="仿宋" w:cs="仿宋"/>
          <w:sz w:val="32"/>
          <w:szCs w:val="32"/>
        </w:rPr>
        <w:t>经验做好2024年村庄规划编制实施工作的通知（桂自然资发〔2024〕16号）</w:t>
      </w:r>
      <w:r>
        <w:rPr>
          <w:rFonts w:hint="default" w:ascii="仿宋" w:hAnsi="仿宋" w:eastAsia="仿宋" w:cs="仿宋"/>
          <w:sz w:val="32"/>
          <w:szCs w:val="32"/>
          <w:lang w:eastAsia="zh-CN"/>
        </w:rPr>
        <w:t>；</w:t>
      </w:r>
    </w:p>
    <w:p w14:paraId="5F1DC98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16.</w:t>
      </w:r>
      <w:r>
        <w:rPr>
          <w:rFonts w:hint="default" w:ascii="仿宋" w:hAnsi="仿宋" w:eastAsia="仿宋" w:cs="仿宋"/>
          <w:sz w:val="32"/>
          <w:szCs w:val="32"/>
        </w:rPr>
        <w:t>自然资源厅关于强化村庄规划编制实施助力乡村振兴的通知（桂自然资发〔2023〕39号）</w:t>
      </w:r>
      <w:r>
        <w:rPr>
          <w:rFonts w:hint="default" w:ascii="仿宋" w:hAnsi="仿宋" w:eastAsia="仿宋" w:cs="仿宋"/>
          <w:sz w:val="32"/>
          <w:szCs w:val="32"/>
          <w:lang w:eastAsia="zh-CN"/>
        </w:rPr>
        <w:t>；</w:t>
      </w:r>
    </w:p>
    <w:p w14:paraId="6DD122D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17.</w:t>
      </w:r>
      <w:r>
        <w:rPr>
          <w:rFonts w:hint="default" w:ascii="仿宋" w:hAnsi="仿宋" w:eastAsia="仿宋" w:cs="仿宋"/>
          <w:sz w:val="32"/>
          <w:szCs w:val="32"/>
        </w:rPr>
        <w:t>《荔浦市农村住宅建筑风貌设计通用图集</w:t>
      </w:r>
      <w:r>
        <w:rPr>
          <w:rFonts w:hint="default" w:ascii="仿宋" w:hAnsi="仿宋" w:eastAsia="仿宋" w:cs="仿宋"/>
          <w:sz w:val="32"/>
          <w:szCs w:val="32"/>
          <w:lang w:eastAsia="zh-CN"/>
        </w:rPr>
        <w:t>（</w:t>
      </w:r>
      <w:r>
        <w:rPr>
          <w:rFonts w:hint="default" w:ascii="仿宋" w:hAnsi="仿宋" w:eastAsia="仿宋" w:cs="仿宋"/>
          <w:sz w:val="32"/>
          <w:szCs w:val="32"/>
        </w:rPr>
        <w:t>2021</w:t>
      </w:r>
      <w:r>
        <w:rPr>
          <w:rFonts w:hint="default" w:ascii="仿宋" w:hAnsi="仿宋" w:eastAsia="仿宋" w:cs="仿宋"/>
          <w:sz w:val="32"/>
          <w:szCs w:val="32"/>
          <w:lang w:eastAsia="zh-CN"/>
        </w:rPr>
        <w:t>）</w:t>
      </w:r>
      <w:r>
        <w:rPr>
          <w:rFonts w:hint="default" w:ascii="仿宋" w:hAnsi="仿宋" w:eastAsia="仿宋" w:cs="仿宋"/>
          <w:sz w:val="32"/>
          <w:szCs w:val="32"/>
        </w:rPr>
        <w:t>》</w:t>
      </w:r>
      <w:r>
        <w:rPr>
          <w:rFonts w:hint="default" w:ascii="仿宋" w:hAnsi="仿宋" w:eastAsia="仿宋" w:cs="仿宋"/>
          <w:sz w:val="32"/>
          <w:szCs w:val="32"/>
          <w:lang w:eastAsia="zh-CN"/>
        </w:rPr>
        <w:t>。</w:t>
      </w:r>
    </w:p>
    <w:p w14:paraId="2956560E">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（四）相关规划</w:t>
      </w:r>
    </w:p>
    <w:p w14:paraId="5F52E6A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《桂林市国土空间总体规划（2021—2035年）》；</w:t>
      </w:r>
    </w:p>
    <w:p w14:paraId="1CAF476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《桂林市“十四五”文化和旅游发展规划》；</w:t>
      </w:r>
    </w:p>
    <w:p w14:paraId="3DE0E9D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《桂林市荔浦市国民经济和社会发展第十四个五年规划和2035年远景目标纲要》；</w:t>
      </w:r>
    </w:p>
    <w:p w14:paraId="5468EB5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《荔浦市国土空间总体规划（2021—2035年）》；</w:t>
      </w:r>
    </w:p>
    <w:p w14:paraId="39CD932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其他相关规划。</w:t>
      </w:r>
    </w:p>
    <w:p w14:paraId="06501D5C">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default" w:ascii="仿宋" w:hAnsi="仿宋" w:eastAsia="仿宋" w:cs="仿宋"/>
          <w:sz w:val="32"/>
          <w:szCs w:val="32"/>
        </w:rPr>
        <w:sectPr>
          <w:footerReference r:id="rId16" w:type="default"/>
          <w:pgSz w:w="11905" w:h="16838"/>
          <w:pgMar w:top="2098" w:right="1474" w:bottom="1984" w:left="1587" w:header="850" w:footer="1417" w:gutter="0"/>
          <w:pgBorders>
            <w:top w:val="none" w:sz="0" w:space="0"/>
            <w:left w:val="none" w:sz="0" w:space="0"/>
            <w:bottom w:val="none" w:sz="0" w:space="0"/>
            <w:right w:val="none" w:sz="0" w:space="0"/>
          </w:pgBorders>
          <w:pgNumType w:fmt="decimal"/>
          <w:cols w:space="0" w:num="1"/>
          <w:rtlGutter w:val="0"/>
          <w:docGrid w:type="linesAndChars" w:linePitch="579" w:charSpace="-849"/>
        </w:sectPr>
      </w:pPr>
    </w:p>
    <w:p w14:paraId="623C166B">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default" w:ascii="楷体" w:hAnsi="楷体" w:eastAsia="楷体" w:cs="楷体"/>
          <w:color w:val="000000" w:themeColor="text1"/>
          <w:lang w:val="en-US" w:eastAsia="zh-CN"/>
        </w:rPr>
      </w:pPr>
      <w:bookmarkStart w:id="170" w:name="_Toc25166"/>
      <w:bookmarkStart w:id="171" w:name="_Toc8050"/>
      <w:bookmarkStart w:id="172" w:name="_Toc22975"/>
      <w:bookmarkStart w:id="173" w:name="_Toc3761"/>
      <w:bookmarkStart w:id="174" w:name="_Toc32499"/>
      <w:bookmarkStart w:id="175" w:name="_Toc5415"/>
      <w:bookmarkStart w:id="176" w:name="_Toc32164"/>
      <w:bookmarkStart w:id="177" w:name="_Toc6356"/>
      <w:r>
        <w:rPr>
          <w:rFonts w:hint="default" w:ascii="楷体" w:hAnsi="楷体" w:eastAsia="楷体" w:cs="楷体"/>
          <w:color w:val="000000" w:themeColor="text1"/>
          <w:lang w:val="en-US" w:eastAsia="zh-CN"/>
        </w:rPr>
        <w:t>附录D乡村地区重点地块图则样图</w:t>
      </w:r>
      <w:bookmarkEnd w:id="170"/>
      <w:bookmarkEnd w:id="171"/>
      <w:bookmarkEnd w:id="172"/>
      <w:bookmarkEnd w:id="173"/>
      <w:bookmarkEnd w:id="174"/>
      <w:bookmarkEnd w:id="175"/>
      <w:bookmarkEnd w:id="176"/>
      <w:bookmarkEnd w:id="177"/>
    </w:p>
    <w:p w14:paraId="57515906">
      <w:pPr>
        <w:pStyle w:val="8"/>
        <w:keepNext w:val="0"/>
        <w:keepLines w:val="0"/>
        <w:pageBreakBefore w:val="0"/>
        <w:widowControl w:val="0"/>
        <w:shd w:val="clear"/>
        <w:kinsoku/>
        <w:wordWrap/>
        <w:overflowPunct/>
        <w:topLinePunct w:val="0"/>
        <w:autoSpaceDE/>
        <w:autoSpaceDN/>
        <w:bidi w:val="0"/>
        <w:ind w:left="0"/>
        <w:textAlignment w:val="auto"/>
        <w:rPr>
          <w:rFonts w:hint="default" w:ascii="Times New Roman" w:hAnsi="Times New Roman" w:cs="Times New Roman"/>
          <w:highlight w:val="none"/>
        </w:rPr>
      </w:pPr>
      <w:r>
        <w:rPr>
          <w:rFonts w:hint="default" w:ascii="Times New Roman" w:hAnsi="Times New Roman" w:cs="Times New Roman"/>
          <w:highlight w:val="none"/>
        </w:rPr>
        <w:drawing>
          <wp:anchor distT="0" distB="0" distL="0" distR="0" simplePos="0" relativeHeight="251660288" behindDoc="0" locked="0" layoutInCell="1" allowOverlap="1">
            <wp:simplePos x="0" y="0"/>
            <wp:positionH relativeFrom="page">
              <wp:posOffset>1007745</wp:posOffset>
            </wp:positionH>
            <wp:positionV relativeFrom="paragraph">
              <wp:posOffset>87630</wp:posOffset>
            </wp:positionV>
            <wp:extent cx="5387975" cy="3886200"/>
            <wp:effectExtent l="0" t="0" r="3175" b="0"/>
            <wp:wrapTopAndBottom/>
            <wp:docPr id="5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jpeg"/>
                    <pic:cNvPicPr>
                      <a:picLocks noChangeAspect="1"/>
                    </pic:cNvPicPr>
                  </pic:nvPicPr>
                  <pic:blipFill>
                    <a:blip r:embed="rId20" cstate="print"/>
                    <a:stretch>
                      <a:fillRect/>
                    </a:stretch>
                  </pic:blipFill>
                  <pic:spPr>
                    <a:xfrm>
                      <a:off x="0" y="0"/>
                      <a:ext cx="5387975" cy="3886200"/>
                    </a:xfrm>
                    <a:prstGeom prst="rect">
                      <a:avLst/>
                    </a:prstGeom>
                  </pic:spPr>
                </pic:pic>
              </a:graphicData>
            </a:graphic>
          </wp:anchor>
        </w:drawing>
      </w:r>
    </w:p>
    <w:p w14:paraId="3D65FF04">
      <w:pPr>
        <w:keepNext w:val="0"/>
        <w:keepLines w:val="0"/>
        <w:pageBreakBefore w:val="0"/>
        <w:widowControl w:val="0"/>
        <w:shd w:val="clear"/>
        <w:kinsoku/>
        <w:wordWrap/>
        <w:overflowPunct/>
        <w:topLinePunct w:val="0"/>
        <w:autoSpaceDE/>
        <w:autoSpaceDN/>
        <w:bidi w:val="0"/>
        <w:spacing w:line="360" w:lineRule="auto"/>
        <w:jc w:val="center"/>
        <w:textAlignment w:val="auto"/>
        <w:rPr>
          <w:rFonts w:hint="default" w:ascii="Times New Roman" w:hAnsi="Times New Roman" w:eastAsia="仿宋" w:cs="Times New Roman"/>
          <w:kern w:val="0"/>
          <w:sz w:val="32"/>
          <w:szCs w:val="32"/>
          <w:highlight w:val="none"/>
          <w:lang w:bidi="ar"/>
        </w:rPr>
        <w:sectPr>
          <w:footerReference r:id="rId17" w:type="default"/>
          <w:pgSz w:w="11905" w:h="16838"/>
          <w:pgMar w:top="2098" w:right="1474" w:bottom="1984" w:left="1587" w:header="850" w:footer="1417" w:gutter="0"/>
          <w:pgBorders>
            <w:top w:val="none" w:sz="0" w:space="0"/>
            <w:left w:val="none" w:sz="0" w:space="0"/>
            <w:bottom w:val="none" w:sz="0" w:space="0"/>
            <w:right w:val="none" w:sz="0" w:space="0"/>
          </w:pgBorders>
          <w:pgNumType w:fmt="decimal"/>
          <w:cols w:space="0" w:num="1"/>
          <w:rtlGutter w:val="0"/>
          <w:docGrid w:type="linesAndChars" w:linePitch="579" w:charSpace="-849"/>
        </w:sectPr>
      </w:pPr>
    </w:p>
    <w:p w14:paraId="1FBC20AA">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default" w:ascii="楷体" w:hAnsi="楷体" w:eastAsia="楷体" w:cs="楷体"/>
          <w:color w:val="000000" w:themeColor="text1"/>
        </w:rPr>
      </w:pPr>
      <w:bookmarkStart w:id="178" w:name="_Toc30637"/>
      <w:bookmarkStart w:id="179" w:name="_Toc12612"/>
      <w:bookmarkStart w:id="180" w:name="_Toc3768"/>
      <w:r>
        <w:rPr>
          <w:rFonts w:hint="default" w:ascii="楷体" w:hAnsi="楷体" w:eastAsia="楷体" w:cs="楷体"/>
          <w:color w:val="000000" w:themeColor="text1"/>
        </w:rPr>
        <w:t>附</w:t>
      </w:r>
      <w:r>
        <w:rPr>
          <w:rFonts w:hint="eastAsia" w:ascii="楷体" w:hAnsi="楷体" w:eastAsia="楷体" w:cs="楷体"/>
          <w:color w:val="000000" w:themeColor="text1"/>
          <w:lang w:val="en-US" w:eastAsia="zh-CN"/>
        </w:rPr>
        <w:t>录E</w:t>
      </w:r>
      <w:r>
        <w:rPr>
          <w:rFonts w:hint="default" w:ascii="楷体" w:hAnsi="楷体" w:eastAsia="楷体" w:cs="楷体"/>
          <w:color w:val="000000" w:themeColor="text1"/>
        </w:rPr>
        <w:t>荔浦市村庄建设用地指标分解表</w:t>
      </w:r>
      <w:bookmarkEnd w:id="178"/>
      <w:bookmarkEnd w:id="179"/>
      <w:bookmarkEnd w:id="180"/>
    </w:p>
    <w:tbl>
      <w:tblPr>
        <w:tblStyle w:val="19"/>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9"/>
        <w:gridCol w:w="2445"/>
        <w:gridCol w:w="2688"/>
        <w:gridCol w:w="2688"/>
      </w:tblGrid>
      <w:tr w14:paraId="5417A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blHeader/>
        </w:trPr>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4ED4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乡镇名称</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222D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行政村（社区）名称</w:t>
            </w:r>
            <w:r>
              <w:rPr>
                <w:rFonts w:hint="eastAsia" w:ascii="仿宋" w:hAnsi="仿宋" w:eastAsia="仿宋" w:cs="华文中宋"/>
                <w:b/>
                <w:bCs/>
                <w:sz w:val="24"/>
                <w:szCs w:val="24"/>
                <w:vertAlign w:val="superscript"/>
                <w:lang w:val="en-US" w:eastAsia="zh-CN"/>
              </w:rPr>
              <w:footnoteReference w:id="0"/>
            </w:r>
          </w:p>
        </w:tc>
        <w:tc>
          <w:tcPr>
            <w:tcW w:w="5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E62A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村庄建设用地面积（公顷）</w:t>
            </w:r>
          </w:p>
        </w:tc>
      </w:tr>
      <w:tr w14:paraId="1B42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blHeader/>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F2CB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CF6E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74C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r>
              <w:rPr>
                <w:rFonts w:hint="eastAsia" w:ascii="仿宋" w:hAnsi="仿宋" w:eastAsia="仿宋" w:cs="华文中宋"/>
                <w:b/>
                <w:bCs/>
                <w:sz w:val="24"/>
                <w:szCs w:val="24"/>
                <w:lang w:val="en-US" w:eastAsia="zh-CN"/>
              </w:rPr>
              <w:t>规划基期年（2020年）</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B59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r>
              <w:rPr>
                <w:rFonts w:hint="eastAsia" w:ascii="仿宋" w:hAnsi="仿宋" w:eastAsia="仿宋" w:cs="华文中宋"/>
                <w:b/>
                <w:bCs/>
                <w:sz w:val="24"/>
                <w:szCs w:val="24"/>
                <w:lang w:val="en-US" w:eastAsia="zh-CN"/>
              </w:rPr>
              <w:t>规划目标年（2035年）</w:t>
            </w:r>
          </w:p>
        </w:tc>
      </w:tr>
      <w:tr w14:paraId="49D2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3318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荔城镇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27F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沙洞</w:t>
            </w:r>
            <w:bookmarkStart w:id="181" w:name="OLE_LINK5"/>
            <w:r>
              <w:rPr>
                <w:rFonts w:hint="eastAsia" w:ascii="仿宋" w:hAnsi="仿宋" w:eastAsia="仿宋" w:cs="华文中宋"/>
                <w:kern w:val="0"/>
                <w:sz w:val="24"/>
                <w:szCs w:val="24"/>
                <w:lang w:val="en-US" w:eastAsia="zh-CN"/>
              </w:rPr>
              <w:t>社区居委会</w:t>
            </w:r>
            <w:bookmarkEnd w:id="181"/>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59B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7.3022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FBD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7.8870 </w:t>
            </w:r>
          </w:p>
        </w:tc>
      </w:tr>
      <w:tr w14:paraId="15B2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F50C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89F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五里村委会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F76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71.8968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C23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74.8749 </w:t>
            </w:r>
          </w:p>
        </w:tc>
      </w:tr>
      <w:tr w14:paraId="7A83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0DFE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CE0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沙街社区居委会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8CD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37.8863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B1E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44.6727 </w:t>
            </w:r>
          </w:p>
        </w:tc>
      </w:tr>
      <w:tr w14:paraId="737A1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ACAE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3F6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金雷村委会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815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69.1368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C46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85.0207 </w:t>
            </w:r>
          </w:p>
        </w:tc>
      </w:tr>
      <w:tr w14:paraId="7BA32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CD9F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B7B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黄寨村委会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1BF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88.4585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1F8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92.1566 </w:t>
            </w:r>
          </w:p>
        </w:tc>
      </w:tr>
      <w:tr w14:paraId="41BA7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7F6E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2FB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桥富村委会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FA0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72.5136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89B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70.3954 </w:t>
            </w:r>
          </w:p>
        </w:tc>
      </w:tr>
      <w:tr w14:paraId="1D34C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606A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D51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安疆村委会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68B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42.1041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06E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31.1800 </w:t>
            </w:r>
          </w:p>
        </w:tc>
      </w:tr>
      <w:tr w14:paraId="080E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1103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8FC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古城村委会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640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24.9705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8B6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23.2325 </w:t>
            </w:r>
          </w:p>
        </w:tc>
      </w:tr>
      <w:tr w14:paraId="09024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C2A1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ABF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南雄村委会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A90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52.5550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CF5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45.5788 </w:t>
            </w:r>
          </w:p>
        </w:tc>
      </w:tr>
      <w:tr w14:paraId="514F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F850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7F0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田岭村委会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F2B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58.2188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DFE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44.7700 </w:t>
            </w:r>
          </w:p>
        </w:tc>
      </w:tr>
      <w:tr w14:paraId="0E1B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719A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B7E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岭松村委会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846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40.1712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9E3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36.0200 </w:t>
            </w:r>
          </w:p>
        </w:tc>
      </w:tr>
      <w:tr w14:paraId="539E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4DA9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01E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寨脚村委会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8E3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71.9742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F58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67.6327 </w:t>
            </w:r>
          </w:p>
        </w:tc>
      </w:tr>
      <w:tr w14:paraId="15FDA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5DDF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9BA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荔城镇政府</w:t>
            </w:r>
            <w:r>
              <w:rPr>
                <w:rFonts w:hint="eastAsia" w:ascii="仿宋" w:hAnsi="仿宋" w:eastAsia="仿宋" w:cs="华文中宋"/>
                <w:kern w:val="0"/>
                <w:sz w:val="24"/>
                <w:szCs w:val="24"/>
                <w:vertAlign w:val="superscript"/>
                <w:lang w:val="en-US" w:eastAsia="zh-CN"/>
              </w:rPr>
              <w:footnoteReference w:id="1"/>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46A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0.0807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5E0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0.1130 </w:t>
            </w:r>
          </w:p>
        </w:tc>
      </w:tr>
      <w:tr w14:paraId="2A06F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3BF2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2A3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0A0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637.2687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E3E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623.5344 </w:t>
            </w:r>
          </w:p>
        </w:tc>
      </w:tr>
      <w:tr w14:paraId="58CB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14:paraId="1931D5F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东昌镇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19B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栗木社区居委会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B28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71.8821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8C8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80.5559 </w:t>
            </w:r>
          </w:p>
        </w:tc>
      </w:tr>
      <w:tr w14:paraId="4C75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E1EE62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5B3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东阳村委会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639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50.4246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468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46.0600 </w:t>
            </w:r>
          </w:p>
        </w:tc>
      </w:tr>
      <w:tr w14:paraId="747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CD94D2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E8D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义敏村委会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9A5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40.4095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F86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45.9290 </w:t>
            </w:r>
          </w:p>
        </w:tc>
      </w:tr>
      <w:tr w14:paraId="64605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F89831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E8A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河北村委会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9A7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29.8446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817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31.0465 </w:t>
            </w:r>
          </w:p>
        </w:tc>
      </w:tr>
      <w:tr w14:paraId="5E15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944AD9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B54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滩头村委会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AEC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43.4145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FA0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52.2244 </w:t>
            </w:r>
          </w:p>
        </w:tc>
      </w:tr>
      <w:tr w14:paraId="26E8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07A3446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63B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民强村委会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C51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46.9276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E9B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40.3300 </w:t>
            </w:r>
          </w:p>
        </w:tc>
      </w:tr>
      <w:tr w14:paraId="1651C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62C4DC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65D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盘瑶村委会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B38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26.5097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54A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26.1646 </w:t>
            </w:r>
          </w:p>
        </w:tc>
      </w:tr>
      <w:tr w14:paraId="0D70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2C60A6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EDA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思贡村委会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5FA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43.4568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11F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35.3500 </w:t>
            </w:r>
          </w:p>
        </w:tc>
      </w:tr>
      <w:tr w14:paraId="0774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8668CB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020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安静村委会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65F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58.7370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196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56.9898</w:t>
            </w:r>
          </w:p>
        </w:tc>
      </w:tr>
      <w:tr w14:paraId="20F9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502FE0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776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龙田村委会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D27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27.5073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783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19.3171 </w:t>
            </w:r>
          </w:p>
        </w:tc>
      </w:tr>
      <w:tr w14:paraId="2310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C903AF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91E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环河村委会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EF0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39.9204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548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43.4614 </w:t>
            </w:r>
          </w:p>
        </w:tc>
      </w:tr>
      <w:tr w14:paraId="6FD9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D2ACAB5">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C28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A4A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479.0341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583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477.4286 </w:t>
            </w:r>
          </w:p>
        </w:tc>
      </w:tr>
      <w:tr w14:paraId="4B6C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14:paraId="54B3F24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新坪镇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E4B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兴坪社区居委会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657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33.7243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038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45.8300 </w:t>
            </w:r>
          </w:p>
        </w:tc>
      </w:tr>
      <w:tr w14:paraId="3011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FEE14A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487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凤岗村委会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7F8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104.3772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EA2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88.3600 </w:t>
            </w:r>
          </w:p>
        </w:tc>
      </w:tr>
      <w:tr w14:paraId="5E53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B8B7A3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063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广福村委会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AB0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57.9873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EF4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78.8875 </w:t>
            </w:r>
          </w:p>
        </w:tc>
      </w:tr>
      <w:tr w14:paraId="33F9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59ED77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BF8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桂东村委会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4CA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47.3386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65E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49.8312 </w:t>
            </w:r>
          </w:p>
        </w:tc>
      </w:tr>
      <w:tr w14:paraId="3E8B8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03CE02C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E55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大瑶村委会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D62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27.9826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AD2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23.1074 </w:t>
            </w:r>
          </w:p>
        </w:tc>
      </w:tr>
      <w:tr w14:paraId="3E20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55A8BF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866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双和村委会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4A8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61.1938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041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55.9637 </w:t>
            </w:r>
          </w:p>
        </w:tc>
      </w:tr>
      <w:tr w14:paraId="6B5E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D967DC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DA3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高寨村委会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9EB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28.1310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8EC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18.9169 </w:t>
            </w:r>
          </w:p>
        </w:tc>
      </w:tr>
      <w:tr w14:paraId="7817A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BB46DA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5D7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安民村委会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45F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75.9758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29A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71.3000 </w:t>
            </w:r>
          </w:p>
        </w:tc>
      </w:tr>
      <w:tr w14:paraId="5777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962D1B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F19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汉田村委会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EC8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58.1832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2A1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57.8300 </w:t>
            </w:r>
          </w:p>
        </w:tc>
      </w:tr>
      <w:tr w14:paraId="2680F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6B4E11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BD6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兴义村委会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792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18.1846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AE2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22.0172 </w:t>
            </w:r>
          </w:p>
        </w:tc>
      </w:tr>
      <w:tr w14:paraId="4D09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68C350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14B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八鲁村委会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FAF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45.6571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24B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44.3941 </w:t>
            </w:r>
          </w:p>
        </w:tc>
      </w:tr>
      <w:tr w14:paraId="2E2C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1649EF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86F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长滩村委会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469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4.1371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4FA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3.0500 </w:t>
            </w:r>
          </w:p>
        </w:tc>
      </w:tr>
      <w:tr w14:paraId="7EB6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9ACBE0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171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黄竹村委会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2B8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14.6326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3A1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10.7207 </w:t>
            </w:r>
          </w:p>
        </w:tc>
      </w:tr>
      <w:tr w14:paraId="2D73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522EDD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513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清江村委会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A15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11.7043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3AA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8.4019 </w:t>
            </w:r>
          </w:p>
        </w:tc>
      </w:tr>
      <w:tr w14:paraId="0A9B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4DC9BC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DC0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AA9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589.2094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67E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578.6107 </w:t>
            </w:r>
          </w:p>
        </w:tc>
      </w:tr>
      <w:tr w14:paraId="712F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99CF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杜莫镇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7B6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杜莫社区居委会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889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37.0809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CF2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37.6758 </w:t>
            </w:r>
          </w:p>
        </w:tc>
      </w:tr>
      <w:tr w14:paraId="1F925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6E8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E8F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寨村村委会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868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52.1711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730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45.5500 </w:t>
            </w:r>
          </w:p>
        </w:tc>
      </w:tr>
      <w:tr w14:paraId="3C21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0E39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2FC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三保村委会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CC4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62.7934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EE4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61.8324 </w:t>
            </w:r>
          </w:p>
        </w:tc>
      </w:tr>
      <w:tr w14:paraId="78A7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15EC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827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张村村委会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E19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59.9637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AAE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60.7128 </w:t>
            </w:r>
          </w:p>
        </w:tc>
      </w:tr>
      <w:tr w14:paraId="1CEF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93B5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F5A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金鸡村委会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17D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55.2857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4AB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56.2607 </w:t>
            </w:r>
          </w:p>
        </w:tc>
      </w:tr>
      <w:tr w14:paraId="6E74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F47D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BC0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上龙村委会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13C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25.8972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963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28.6378 </w:t>
            </w:r>
          </w:p>
        </w:tc>
      </w:tr>
      <w:tr w14:paraId="7818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E076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121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屯顿村委会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C84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42.9114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195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42.1323 </w:t>
            </w:r>
          </w:p>
        </w:tc>
      </w:tr>
      <w:tr w14:paraId="33AB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A0AE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8C6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龙珠村委会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224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47.0015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5F5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52.9914 </w:t>
            </w:r>
          </w:p>
        </w:tc>
      </w:tr>
      <w:tr w14:paraId="129E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27B1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321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六部村委会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FBA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33.3393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79B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29.5712 </w:t>
            </w:r>
          </w:p>
        </w:tc>
      </w:tr>
      <w:tr w14:paraId="7648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F06B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DCB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下樟村委会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B43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35.6087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3D4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28.7764 </w:t>
            </w:r>
          </w:p>
        </w:tc>
      </w:tr>
      <w:tr w14:paraId="538DA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33C4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624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榕洞村委会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060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30.8574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0BD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28.6076 </w:t>
            </w:r>
          </w:p>
        </w:tc>
      </w:tr>
      <w:tr w14:paraId="4136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E7D7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871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7B0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482.9102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4B4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472.7483 </w:t>
            </w:r>
          </w:p>
        </w:tc>
      </w:tr>
      <w:tr w14:paraId="12226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14:paraId="45CB1EE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青山镇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9F6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青山社区居委会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78E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29.4888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8CF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31.6755 </w:t>
            </w:r>
          </w:p>
        </w:tc>
      </w:tr>
      <w:tr w14:paraId="0E9C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9EFB07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AF0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AEF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75.5387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7DE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73.6311 </w:t>
            </w:r>
          </w:p>
        </w:tc>
      </w:tr>
      <w:tr w14:paraId="4207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7412B5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58C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永镇村委会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C01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91.2793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0CB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93.5678 </w:t>
            </w:r>
          </w:p>
        </w:tc>
      </w:tr>
      <w:tr w14:paraId="44D52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CDF1D8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CC5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拱秀村委会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DCE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49.7920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F26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50.4931 </w:t>
            </w:r>
          </w:p>
        </w:tc>
      </w:tr>
      <w:tr w14:paraId="44D9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AFC70A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FBB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松林村委会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9D3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67.7352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E03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73.8121 </w:t>
            </w:r>
          </w:p>
        </w:tc>
      </w:tr>
      <w:tr w14:paraId="282F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8DB861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352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荔江村委会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993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91.6969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442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98.3080 </w:t>
            </w:r>
          </w:p>
        </w:tc>
      </w:tr>
      <w:tr w14:paraId="313E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CE4E2F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5B6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青云村委会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3D5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56.4847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6B4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54.3740 </w:t>
            </w:r>
          </w:p>
        </w:tc>
      </w:tr>
      <w:tr w14:paraId="6557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FBC8C8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259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满洞村委会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8CB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43.6809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9A7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46.1722 </w:t>
            </w:r>
          </w:p>
        </w:tc>
      </w:tr>
      <w:tr w14:paraId="3EC07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328A97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79E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永兴村委会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514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29.8401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973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30.3187 </w:t>
            </w:r>
          </w:p>
        </w:tc>
      </w:tr>
      <w:tr w14:paraId="5D7FB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AF748F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A8F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三联村委会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6F7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32.7300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74A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24.3200 </w:t>
            </w:r>
          </w:p>
        </w:tc>
      </w:tr>
      <w:tr w14:paraId="36CA8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9DDB74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5E0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6C0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34.8476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5B3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31.7600 </w:t>
            </w:r>
          </w:p>
        </w:tc>
      </w:tr>
      <w:tr w14:paraId="3A19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07F818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F5F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E31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603.1142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D1D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608.4326 </w:t>
            </w:r>
          </w:p>
        </w:tc>
      </w:tr>
      <w:tr w14:paraId="300F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14:paraId="289F842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修仁镇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F7B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建陵社区居委会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FC2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56.0236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742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51.5495 </w:t>
            </w:r>
          </w:p>
        </w:tc>
      </w:tr>
      <w:tr w14:paraId="7790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27060A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CA2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三诰村委会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0C9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52.7189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29F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56.6385 </w:t>
            </w:r>
          </w:p>
        </w:tc>
      </w:tr>
      <w:tr w14:paraId="5FEF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4824F8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76A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横水村委会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8C9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75.3414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68E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81.8370 </w:t>
            </w:r>
          </w:p>
        </w:tc>
      </w:tr>
      <w:tr w14:paraId="59F6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A79FC8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CBB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大榕村委会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AB4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61.5715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587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50.1800 </w:t>
            </w:r>
          </w:p>
        </w:tc>
      </w:tr>
      <w:tr w14:paraId="74ED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8C83A7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EDB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念村村委会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695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54.6107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D1A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58.9515 </w:t>
            </w:r>
          </w:p>
        </w:tc>
      </w:tr>
      <w:tr w14:paraId="3BC3E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C79129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4D0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平村村委会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F28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19.8851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F76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21.5696 </w:t>
            </w:r>
          </w:p>
        </w:tc>
      </w:tr>
      <w:tr w14:paraId="1F8A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51D335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7DF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福旺村委会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AC7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52.3675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2D8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47.2320 </w:t>
            </w:r>
          </w:p>
        </w:tc>
      </w:tr>
      <w:tr w14:paraId="71D7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243E2F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FF4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四育村委会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2AF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41.9551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04A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39.4223 </w:t>
            </w:r>
          </w:p>
        </w:tc>
      </w:tr>
      <w:tr w14:paraId="44A16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7F1B0F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819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木山村委会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B93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44.8252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0ED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45.7323 </w:t>
            </w:r>
          </w:p>
        </w:tc>
      </w:tr>
      <w:tr w14:paraId="247C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B6CBC4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3EB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塔石村委会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F29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46.4311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FAE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46.2432 </w:t>
            </w:r>
          </w:p>
        </w:tc>
      </w:tr>
      <w:tr w14:paraId="1CD8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5F0E7C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1B5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64A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505.7302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74D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499.3557 </w:t>
            </w:r>
          </w:p>
        </w:tc>
      </w:tr>
      <w:tr w14:paraId="3175B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14:paraId="2242B18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大塘镇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0A6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大塘社区居委会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61C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45.2147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299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31.3700 </w:t>
            </w:r>
          </w:p>
        </w:tc>
      </w:tr>
      <w:tr w14:paraId="2AD5E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07583B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C25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花岗村委会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CCF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30.1613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9BE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24.1938 </w:t>
            </w:r>
          </w:p>
        </w:tc>
      </w:tr>
      <w:tr w14:paraId="69E67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0E0FE0E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018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苏结村委会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155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39.8907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B92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42.0087 </w:t>
            </w:r>
          </w:p>
        </w:tc>
      </w:tr>
      <w:tr w14:paraId="65CAA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B93199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B6F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绥福村委会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6D9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77.9632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2C8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76.4412 </w:t>
            </w:r>
          </w:p>
        </w:tc>
      </w:tr>
      <w:tr w14:paraId="4101C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A11B53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017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大莫村委会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6BB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35.9515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011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44.2334 </w:t>
            </w:r>
          </w:p>
        </w:tc>
      </w:tr>
      <w:tr w14:paraId="1952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818B9C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F5F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盘村村委会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AE9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51.6639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915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56.7761 </w:t>
            </w:r>
          </w:p>
        </w:tc>
      </w:tr>
      <w:tr w14:paraId="17AF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D68409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448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古屯村委会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A3A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37.1822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A8B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29.2600 </w:t>
            </w:r>
          </w:p>
        </w:tc>
      </w:tr>
      <w:tr w14:paraId="0FE8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468680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156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庆华村委会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2D5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65.6729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BC6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57.0742 </w:t>
            </w:r>
          </w:p>
        </w:tc>
      </w:tr>
      <w:tr w14:paraId="5D09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E61E14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B9F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西隆村委会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165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31.4866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D83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35.1143 </w:t>
            </w:r>
          </w:p>
        </w:tc>
      </w:tr>
      <w:tr w14:paraId="7DA5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C2A2F6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E7C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兰洞村委会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25A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51.8506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90C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53.8628 </w:t>
            </w:r>
          </w:p>
        </w:tc>
      </w:tr>
      <w:tr w14:paraId="2AB68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0C4E0E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3C6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富德村委会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857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102.7277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157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83.8800 </w:t>
            </w:r>
          </w:p>
        </w:tc>
      </w:tr>
      <w:tr w14:paraId="6D171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B14EB6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E58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高岸村委会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4CF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14.6332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369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12.4291 </w:t>
            </w:r>
          </w:p>
        </w:tc>
      </w:tr>
      <w:tr w14:paraId="65AA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0679924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390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161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584.3985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42E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546.6437 </w:t>
            </w:r>
          </w:p>
        </w:tc>
      </w:tr>
      <w:tr w14:paraId="0283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14:paraId="0F7EACF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花篢镇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BAE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花篢社区居委会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112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47.4592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A71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38.4500 </w:t>
            </w:r>
          </w:p>
        </w:tc>
      </w:tr>
      <w:tr w14:paraId="339A1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CBBA11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E6A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大江村委会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C44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47.3171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E6F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47.3171 </w:t>
            </w:r>
          </w:p>
        </w:tc>
      </w:tr>
      <w:tr w14:paraId="5EC2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0DB1661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CE0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288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47.5955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00F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36.2337 </w:t>
            </w:r>
          </w:p>
        </w:tc>
      </w:tr>
      <w:tr w14:paraId="02ABB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06E753B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BFD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福灵村委会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B7C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61.4262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2B8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56.5373 </w:t>
            </w:r>
          </w:p>
        </w:tc>
      </w:tr>
      <w:tr w14:paraId="21FA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A2C696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435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南源村委会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8D1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48.9526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4AA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32.0623 </w:t>
            </w:r>
          </w:p>
        </w:tc>
      </w:tr>
      <w:tr w14:paraId="4323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5301A9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504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大同村委会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D4B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85.7724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5E3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106.1390 </w:t>
            </w:r>
          </w:p>
        </w:tc>
      </w:tr>
      <w:tr w14:paraId="0649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EEA0A0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9D7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江华村委会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765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79.6574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E71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96.0119 </w:t>
            </w:r>
          </w:p>
        </w:tc>
      </w:tr>
      <w:tr w14:paraId="559C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0F572E1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F7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凤联村委会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435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48.5424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4F3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58.5038 </w:t>
            </w:r>
          </w:p>
        </w:tc>
      </w:tr>
      <w:tr w14:paraId="4635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BE1690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017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相仕村委会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42B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38.5870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E66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31.1800 </w:t>
            </w:r>
          </w:p>
        </w:tc>
      </w:tr>
      <w:tr w14:paraId="4F44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0D3B92A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519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DAB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505.3099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1F3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502.4351 </w:t>
            </w:r>
          </w:p>
        </w:tc>
      </w:tr>
      <w:tr w14:paraId="28A8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14:paraId="575CAE7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双江镇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A58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两江社区居委会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998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59.0403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E0F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58.4489 </w:t>
            </w:r>
          </w:p>
        </w:tc>
      </w:tr>
      <w:tr w14:paraId="2D4F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2638E5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5DB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太和村委会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CCB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76.6727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CF8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74.8406 </w:t>
            </w:r>
          </w:p>
        </w:tc>
      </w:tr>
      <w:tr w14:paraId="545A9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AEC1C3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000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江埠村委会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B96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55.8344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A9D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62.1916 </w:t>
            </w:r>
          </w:p>
        </w:tc>
      </w:tr>
      <w:tr w14:paraId="2450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170DF8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17D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永坪村委会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6CE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96.0999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7BE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98.8261 </w:t>
            </w:r>
          </w:p>
        </w:tc>
      </w:tr>
      <w:tr w14:paraId="323F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704488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910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保安村委会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FC7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56.6656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EE8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55.2038 </w:t>
            </w:r>
          </w:p>
        </w:tc>
      </w:tr>
      <w:tr w14:paraId="70C7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FDD3CF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F5D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双安村委会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E3F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65.9474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4CA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76.2410 </w:t>
            </w:r>
          </w:p>
        </w:tc>
      </w:tr>
      <w:tr w14:paraId="7CD6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AB5017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11B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官相村委会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77C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54.8962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5AC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54.5533 </w:t>
            </w:r>
          </w:p>
        </w:tc>
      </w:tr>
      <w:tr w14:paraId="0B4B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BC4D93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581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BF1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19.7044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0B2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15.9649 </w:t>
            </w:r>
          </w:p>
        </w:tc>
      </w:tr>
      <w:tr w14:paraId="0DC0E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BEF482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D72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龙坪村委会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F44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53.4834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C31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53.5096 </w:t>
            </w:r>
          </w:p>
        </w:tc>
      </w:tr>
      <w:tr w14:paraId="74BC4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2450A8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E4A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永福村委会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DCE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72.7126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01D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53.4853 </w:t>
            </w:r>
          </w:p>
        </w:tc>
      </w:tr>
      <w:tr w14:paraId="48259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5F18A0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46B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同福村委会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E08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74.2073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19F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68.3969 </w:t>
            </w:r>
          </w:p>
        </w:tc>
      </w:tr>
      <w:tr w14:paraId="2E84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CA663A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9DB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179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685.2643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E4C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671.6620 </w:t>
            </w:r>
          </w:p>
        </w:tc>
      </w:tr>
      <w:tr w14:paraId="15E3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14:paraId="01045C8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马岭镇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14B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马岭社区居委会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504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10.7363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C6B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12.0687 </w:t>
            </w:r>
          </w:p>
        </w:tc>
      </w:tr>
      <w:tr w14:paraId="6C886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A6ACB3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584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合安村委会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BF4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73.2448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1C0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79.0765 </w:t>
            </w:r>
          </w:p>
        </w:tc>
      </w:tr>
      <w:tr w14:paraId="3DEE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13BFE7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BC9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德安村委会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F61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47.8958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BA0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58.2794 </w:t>
            </w:r>
          </w:p>
        </w:tc>
      </w:tr>
      <w:tr w14:paraId="581BE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91E009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E8D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广安村委会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41C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94.9216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5BA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113.0834 </w:t>
            </w:r>
          </w:p>
        </w:tc>
      </w:tr>
      <w:tr w14:paraId="1FAD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0034E66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D81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福德村委会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B2E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31.1122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10B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39.0588 </w:t>
            </w:r>
          </w:p>
        </w:tc>
      </w:tr>
      <w:tr w14:paraId="6957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B71CCB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676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克新村委会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F3E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48.2268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FCB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53.7762 </w:t>
            </w:r>
          </w:p>
        </w:tc>
      </w:tr>
      <w:tr w14:paraId="1ECC7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55C5A7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0FF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641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50.1457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E5E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40.4400 </w:t>
            </w:r>
          </w:p>
        </w:tc>
      </w:tr>
      <w:tr w14:paraId="7F11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FE1C31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F93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洞田村委会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181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23.0310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08E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23.5208 </w:t>
            </w:r>
          </w:p>
        </w:tc>
      </w:tr>
      <w:tr w14:paraId="3837D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B7C0CD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055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文华村委会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BD1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39.8538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2FB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35.1344 </w:t>
            </w:r>
          </w:p>
        </w:tc>
      </w:tr>
      <w:tr w14:paraId="08E4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6404D0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65F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B4F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92.3302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219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71.5600 </w:t>
            </w:r>
          </w:p>
        </w:tc>
      </w:tr>
      <w:tr w14:paraId="4917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9F5D82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39C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新寨村委会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60D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43.0778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3F9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37.2031 </w:t>
            </w:r>
          </w:p>
        </w:tc>
      </w:tr>
      <w:tr w14:paraId="1AF83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EE32B1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9D0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凤凰村委会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7B6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61.1205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B2F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57.0531 </w:t>
            </w:r>
          </w:p>
        </w:tc>
      </w:tr>
      <w:tr w14:paraId="5BD9E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0F848D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A5C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同善村委会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F22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54.5040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D8F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40.0200 </w:t>
            </w:r>
          </w:p>
        </w:tc>
      </w:tr>
      <w:tr w14:paraId="05B3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A00B18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F6C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长安村委会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387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31.8928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530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31.5934 </w:t>
            </w:r>
          </w:p>
        </w:tc>
      </w:tr>
      <w:tr w14:paraId="3D323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077636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A2B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地狮村委会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E74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43.8731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40F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42.6361 </w:t>
            </w:r>
          </w:p>
        </w:tc>
      </w:tr>
      <w:tr w14:paraId="48D5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221DE3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431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9AF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745.9664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EBC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734.5039 </w:t>
            </w:r>
          </w:p>
        </w:tc>
      </w:tr>
      <w:tr w14:paraId="40DB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14:paraId="2941C93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龙怀乡</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C00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新安社区居委会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94A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47.7276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B78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56.2336 </w:t>
            </w:r>
          </w:p>
        </w:tc>
      </w:tr>
      <w:tr w14:paraId="3245D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4C922F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DD5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三河村委会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D56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37.8597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830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41.7269 </w:t>
            </w:r>
          </w:p>
        </w:tc>
      </w:tr>
      <w:tr w14:paraId="0857A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F313AC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7D1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庆云村委会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22A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45.7529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E18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28.1600 </w:t>
            </w:r>
          </w:p>
        </w:tc>
      </w:tr>
      <w:tr w14:paraId="5C5D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2F580A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B9A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东坪村委会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DB6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50.4013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499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48.2053 </w:t>
            </w:r>
          </w:p>
        </w:tc>
      </w:tr>
      <w:tr w14:paraId="2ECAB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036BFC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BA1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德庆村委会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5BC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45.7602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E91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48.3539 </w:t>
            </w:r>
          </w:p>
        </w:tc>
      </w:tr>
      <w:tr w14:paraId="082D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0764BFB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DC2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7C5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227.5016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390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222.6797 </w:t>
            </w:r>
          </w:p>
        </w:tc>
      </w:tr>
      <w:tr w14:paraId="6428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ACD1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茶城乡</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031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茶香社区居委会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1FF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62.6787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65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75.5276 </w:t>
            </w:r>
          </w:p>
        </w:tc>
      </w:tr>
      <w:tr w14:paraId="7710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1541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EBD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过村村委会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920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32.7361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727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42.1033 </w:t>
            </w:r>
          </w:p>
        </w:tc>
      </w:tr>
      <w:tr w14:paraId="5625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7A6F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A32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坪社村委会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880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23.1879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4DB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20.1800 </w:t>
            </w:r>
          </w:p>
        </w:tc>
      </w:tr>
      <w:tr w14:paraId="6DC22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2221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0A3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屯留村委会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0AD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41.7851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A78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35.0500 </w:t>
            </w:r>
          </w:p>
        </w:tc>
      </w:tr>
      <w:tr w14:paraId="564D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B611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FF5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清良村委会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513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17.4652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195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12.3600 </w:t>
            </w:r>
          </w:p>
        </w:tc>
      </w:tr>
      <w:tr w14:paraId="25BCB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F010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F45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文德村委会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F47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28.5086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8B8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21.8500 </w:t>
            </w:r>
          </w:p>
        </w:tc>
      </w:tr>
      <w:tr w14:paraId="4BCA0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D30724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auto" w:sz="4" w:space="0"/>
              <w:right w:val="single" w:color="000000" w:sz="4" w:space="0"/>
            </w:tcBorders>
            <w:shd w:val="clear" w:color="auto" w:fill="auto"/>
            <w:vAlign w:val="center"/>
          </w:tcPr>
          <w:p w14:paraId="1CA3CB8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41E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206.3616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F75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207.0709 </w:t>
            </w:r>
          </w:p>
        </w:tc>
      </w:tr>
      <w:tr w14:paraId="7A2A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18AAF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蒲芦瑶族乡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06585C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蒲芦社区居委会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A56EFB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46.8681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D46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49.9600 </w:t>
            </w:r>
          </w:p>
        </w:tc>
      </w:tr>
      <w:tr w14:paraId="1482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AB344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74F2116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万福村委会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2F21E0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23.9728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341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13.7428 </w:t>
            </w:r>
          </w:p>
        </w:tc>
      </w:tr>
      <w:tr w14:paraId="6027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52D84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5832B8F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万全村委会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CA250A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19.8391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F26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15.6537 </w:t>
            </w:r>
          </w:p>
        </w:tc>
      </w:tr>
      <w:tr w14:paraId="62D3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23EBB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19AE637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黎村村委会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0F2718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31.9337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31E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18.2100 </w:t>
            </w:r>
          </w:p>
        </w:tc>
      </w:tr>
      <w:tr w14:paraId="0FF61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D5F3E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773C148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甲板村委会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2D2243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21.0987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EF2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23.1110 </w:t>
            </w:r>
          </w:p>
        </w:tc>
      </w:tr>
      <w:tr w14:paraId="6333E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14285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4F7B7A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古立村委会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0B0269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22.4873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94E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11.7488 </w:t>
            </w:r>
          </w:p>
        </w:tc>
      </w:tr>
      <w:tr w14:paraId="64EA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75338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17791F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福文村委会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0E7695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35.5448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5F4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32.1127 </w:t>
            </w:r>
          </w:p>
        </w:tc>
      </w:tr>
      <w:tr w14:paraId="0AEC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7FB3B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560B203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桥乐村委会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882A6B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19.4368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9E8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21.7713 </w:t>
            </w:r>
          </w:p>
        </w:tc>
      </w:tr>
      <w:tr w14:paraId="045E1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C048C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9BC92D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下龙村委会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C11843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26.9996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36C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28.1877 </w:t>
            </w:r>
          </w:p>
        </w:tc>
      </w:tr>
      <w:tr w14:paraId="2E7FC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AD5F2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1146738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C6B319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248.1810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0F1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214.4979 </w:t>
            </w:r>
          </w:p>
        </w:tc>
      </w:tr>
      <w:tr w14:paraId="381FA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D0CC9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指标分解合计</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E93836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6500.2500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C5D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6359.6033 </w:t>
            </w:r>
          </w:p>
        </w:tc>
      </w:tr>
      <w:tr w14:paraId="1420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8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5AB054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预留机动指标</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584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仿宋"/>
                <w:b/>
                <w:bCs/>
                <w:i w:val="0"/>
                <w:iCs w:val="0"/>
                <w:color w:val="000000"/>
                <w:kern w:val="0"/>
                <w:sz w:val="24"/>
                <w:szCs w:val="24"/>
                <w:u w:val="none"/>
                <w:lang w:val="en-US" w:eastAsia="zh-CN" w:bidi="ar"/>
              </w:rPr>
              <w:t>—</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7B4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140.6467 </w:t>
            </w:r>
          </w:p>
        </w:tc>
      </w:tr>
      <w:tr w14:paraId="7A3F6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0C3E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合计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A38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6500.2500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82E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6500.2500 </w:t>
            </w:r>
          </w:p>
        </w:tc>
      </w:tr>
    </w:tbl>
    <w:p w14:paraId="75E8451A">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2312" w:cs="Times New Roman"/>
        </w:rPr>
      </w:pPr>
      <w:r>
        <w:rPr>
          <w:rFonts w:hint="default" w:ascii="Times New Roman" w:hAnsi="Times New Roman" w:eastAsia="方正仿宋_GB2312" w:cs="Times New Roman"/>
        </w:rPr>
        <w:br w:type="page"/>
      </w:r>
    </w:p>
    <w:p w14:paraId="5F49D1B1">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default" w:ascii="楷体" w:hAnsi="楷体" w:eastAsia="楷体" w:cs="楷体"/>
          <w:color w:val="000000" w:themeColor="text1"/>
          <w:lang w:val="en-US" w:eastAsia="zh-CN"/>
        </w:rPr>
      </w:pPr>
      <w:bookmarkStart w:id="182" w:name="_Toc11652"/>
      <w:bookmarkStart w:id="183" w:name="_Toc11966"/>
      <w:bookmarkStart w:id="184" w:name="_Toc26916"/>
      <w:bookmarkStart w:id="185" w:name="_Toc9711"/>
      <w:bookmarkStart w:id="186" w:name="_Toc11081"/>
      <w:r>
        <w:rPr>
          <w:rFonts w:hint="default" w:ascii="楷体" w:hAnsi="楷体" w:eastAsia="楷体" w:cs="楷体"/>
          <w:color w:val="000000" w:themeColor="text1"/>
        </w:rPr>
        <w:t>附</w:t>
      </w:r>
      <w:r>
        <w:rPr>
          <w:rFonts w:hint="default" w:ascii="楷体" w:hAnsi="楷体" w:eastAsia="楷体" w:cs="楷体"/>
          <w:color w:val="000000" w:themeColor="text1"/>
          <w:lang w:val="en-US" w:eastAsia="zh-CN"/>
        </w:rPr>
        <w:t>录F荔浦市村庄分类及传统村落一览表</w:t>
      </w:r>
      <w:bookmarkEnd w:id="182"/>
      <w:bookmarkEnd w:id="183"/>
      <w:bookmarkEnd w:id="184"/>
      <w:bookmarkEnd w:id="185"/>
      <w:bookmarkEnd w:id="186"/>
    </w:p>
    <w:tbl>
      <w:tblPr>
        <w:tblStyle w:val="19"/>
        <w:tblW w:w="9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7"/>
        <w:gridCol w:w="2930"/>
        <w:gridCol w:w="1928"/>
        <w:gridCol w:w="2763"/>
      </w:tblGrid>
      <w:tr w14:paraId="48118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blHeader/>
        </w:trPr>
        <w:tc>
          <w:tcPr>
            <w:tcW w:w="4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F06D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行政区名称</w:t>
            </w:r>
            <w:r>
              <w:rPr>
                <w:rFonts w:hint="eastAsia" w:ascii="仿宋" w:hAnsi="仿宋" w:eastAsia="仿宋" w:cs="华文中宋"/>
                <w:b/>
                <w:bCs/>
                <w:sz w:val="24"/>
                <w:szCs w:val="24"/>
                <w:vertAlign w:val="superscript"/>
                <w:lang w:val="en-US" w:eastAsia="zh-CN"/>
              </w:rPr>
              <w:footnoteReference w:id="2"/>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268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村庄类型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339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传统村落</w:t>
            </w:r>
          </w:p>
        </w:tc>
      </w:tr>
      <w:tr w14:paraId="1E45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B52C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荔城镇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4AB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沙洞社区居委会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B5F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BF3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762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137A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472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五里村委会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9D8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6AE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579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B890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4F4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沙街社区居委会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4CD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EDB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8A4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4AF2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702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金雷村委会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964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8D4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FC7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DD32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D41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黄寨村委会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7B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625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181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955F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49B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桥富村委会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ED8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0DB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7B9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EDFB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BD3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安疆村委会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0DD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892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9C2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91BA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CE7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古城村委会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2CE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8B9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2A7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988F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D56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南雄村委会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6B0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092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9850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F9A3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7E0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田岭村委会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929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485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1F02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F88C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556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岭松村委会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ED9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09D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E76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BBD1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BFB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寨脚村委会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92C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0A6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AEBD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BD3B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86C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荔城镇政府</w:t>
            </w:r>
            <w:r>
              <w:rPr>
                <w:rFonts w:hint="eastAsia" w:ascii="仿宋" w:hAnsi="仿宋" w:eastAsia="仿宋" w:cs="华文中宋"/>
                <w:b w:val="0"/>
                <w:bCs w:val="0"/>
                <w:sz w:val="24"/>
                <w:szCs w:val="24"/>
                <w:vertAlign w:val="superscript"/>
                <w:lang w:val="en-US" w:eastAsia="zh-CN"/>
              </w:rPr>
              <w:footnoteReference w:id="3"/>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F64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92F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2283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6FCF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东昌镇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11A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栗木社区居委会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4A5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9C4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910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19BD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AD5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东阳村委会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A65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969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9803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9DD1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2C8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义敏村委会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55A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1E2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A4E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7B85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F67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河北村委会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D52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329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C05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21EB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C4E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滩头村委会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D2A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AD7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339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6280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A00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民强村委会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372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D36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E7D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D431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585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盘瑶村委会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03D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53D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744D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CA1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06C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思贡村委会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DE5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9EA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74B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7FC2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22B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安静村委会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D69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2C0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AEC7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05C0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0CA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龙田村委会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1B7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B8C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DBD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A9B1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7F0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环河村委会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C7B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841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576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9EB2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新坪镇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8D2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兴坪社区居委会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3BE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7B5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1DC1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BEBB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34F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凤岗村委会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7E5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DE0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D0F7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05C4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7C2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广福村委会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B5F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1CB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自治区级传统村落</w:t>
            </w:r>
          </w:p>
        </w:tc>
      </w:tr>
      <w:tr w14:paraId="580E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9AA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09D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桂东村委会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59D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BB8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2BB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B49F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C88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大瑶村委会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4CE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C4E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7C0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9EA6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4A7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双和村委会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4EE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C00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0FAD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0F64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762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高寨村委会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9DF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650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60B2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A6A1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659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安民村委会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632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9DB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D7E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4AFE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C8F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汉田村委会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253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BEF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B37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AF29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EDC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兴义村委会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680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2C9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1B1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63EC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543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八鲁村委会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BD7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41E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D0B9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88DB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C47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长滩村委会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3ED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6CC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287F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AB6C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59A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黄竹村委会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F4C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BD1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4A5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F659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3A7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清江村委会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9FF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687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043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1A2C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杜莫镇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7AB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杜莫社区居委会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67D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AAE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DAD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8A41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AA6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寨村村委会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A0D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F46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ED56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8842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403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三保村委会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54A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F42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EEA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E736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6F6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张村村委会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2F1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929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8372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32C0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01F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金鸡村委会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675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9DA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E941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947D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72D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上龙村委会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DFF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290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166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E000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8E9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屯顿村委会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F17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60F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118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4E8D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8F2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龙珠村委会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347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566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C1A6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B663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F88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六部村委会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0A3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CED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1545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5947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EFD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下樟村委会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B78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31A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6143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C8DA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C69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榕洞村委会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369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19B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AC7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49C7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青山镇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F86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青山社区居委会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3B6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D17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17E4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4949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70D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710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442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CF8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9A86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306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永镇村委会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72D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5E8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D10B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AC63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F6D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拱秀村委会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188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DB2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D15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CD08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AF4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松林村委会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B1E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F79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9FD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1137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5EA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荔江村委会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4AC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471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E50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77E7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1CB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青云村委会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C75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279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7960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49E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3B8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满洞村委会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288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F4D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F5E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8213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195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永兴村委会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FA4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783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B15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996E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83D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三联村委会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DBF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96A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324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24AC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CFC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9B2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034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461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7F80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修仁镇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555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建陵社区居委会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347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49A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9661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2E4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034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三诰村委会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981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07B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3DE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03BF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8E7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横水村委会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223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B2C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C98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CB84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A57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大榕村委会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BF3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D94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535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E841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A9A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念村村委会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9E2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C0F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368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6CA2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505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平村村委会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D6E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7C3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805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0B14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D07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福旺村委会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5EB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B1F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759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506C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2A6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四育村委会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652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CC6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805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3092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8E6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木山村委会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B66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94B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2DA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9FD5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AD4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塔石村委会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10E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833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F35B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37E8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大塘镇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7F4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大塘社区居委会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344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C6F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9DD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C892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15C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花岗村委会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C08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EF9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7698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F264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E76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苏结村委会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0C0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A7A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C99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DBE4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CEC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绥福村委会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C09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620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47E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8740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C16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大莫村委会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572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215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02A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C987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FC8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盘村村委会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263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D08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B41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B0C3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C81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古屯村委会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C8E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91A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9A5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C53B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68D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庆华村委会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87D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9D3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E94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08DD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DB9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西隆村委会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9AA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39C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DE8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02BB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975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兰洞村委会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2CA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A9D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03E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270A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129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富德村委会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318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84A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E09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5C0A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38A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高岸村委会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1AD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208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E7A4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83E3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花篢镇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ACA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花篢社区居委会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315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77A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9C3F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4CBB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694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大江村委会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507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210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C45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3D5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88A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BEB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131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196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3F3B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C8A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福灵村委会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D67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783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7B3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FDB5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1F0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南源村委会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FE7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8A9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6831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18F8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78B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大同村委会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D7F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7B4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66C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A4DF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6E0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江华村委会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135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2D0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655D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3578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0EA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凤联村委会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034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D2D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68B3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DC96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B31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相仕村委会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025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99E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E23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616A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双江镇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45E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两江社区居委会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A25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E53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4603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2F7D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652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太和村委会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CBD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514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C8B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FACE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283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江埠村委会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857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B7B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7AFD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E38F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3F4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永坪村委会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A72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CF6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E2C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86B9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63C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保安村委会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CF0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884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1190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D388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CE0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双安村委会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0C8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85D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A9B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8711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14B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官相村委会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23C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2B8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F9E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89A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249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EA9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E8D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4DE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2E16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CC4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龙坪村委会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09C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937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78F5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BAAF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6A9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永福村委会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59C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CDC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16A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2FE4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A17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同福村委会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935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A1E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91D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C6B8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马岭镇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A4F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马岭社区居委会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776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625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6000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5464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B6D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合安村委会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2E3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B70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1AF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32D3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561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德安村委会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AC6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C36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DA5A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E224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99D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广安村委会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0FA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842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1111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D1A2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C1F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福德村委会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256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5B5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A3E0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B4D1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BD2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克新村委会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6B2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437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DF44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082D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F9E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9E9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100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60A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4537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25F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洞田村委会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3C5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526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43D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AA56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236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文华村委会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EC5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A94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1D4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6F34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EE5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7F6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A65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国家级传统村落</w:t>
            </w:r>
          </w:p>
        </w:tc>
      </w:tr>
      <w:tr w14:paraId="24888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5BEE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889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新寨村委会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18A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E25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451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D71B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0DD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凤凰村委会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9C3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F80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517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3F87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238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同善村委会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B53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7DD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C154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485D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AAF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长安村委会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56E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68F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B5B3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021A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005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地狮村委会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5F9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15B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0C5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5E82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龙怀乡</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9FF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新安社区居委会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C73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0C6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12AC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301A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0D2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三河村委会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71D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EC4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1B3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1C8D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73C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庆云村委会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904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180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95A6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2A1F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453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东坪村委会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07C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303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E20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9D38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482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德庆村委会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22E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18C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2B57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2A64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茶城乡</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AC5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茶香社区居委会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949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FA9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206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AE33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9A7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过村村委会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984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296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58A8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3D84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5CF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坪社村委会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831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225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151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2A31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A82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屯留村委会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455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2A8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E559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B4A7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23E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清良村委会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921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AF2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D2D2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0605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F7A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文德村委会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051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F45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446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F7CB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蒲芦瑶族乡</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F32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蒲芦社区居委会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CB6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19F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2ACC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BD83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D83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万福村委会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811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0D9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46B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0FA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BF9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万全村委会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6B6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317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434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90B4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520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黎村村委会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19B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5F6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16DC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C490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CB6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甲板村委会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699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3A3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B17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FC6E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3CD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古立村委会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FD1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A8C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3AD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2671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381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福文村委会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7BA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5DB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E76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0FC5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F28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桥乐村委会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09F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AE5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8524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203E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1D9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下龙村委会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510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50C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bl>
    <w:p w14:paraId="406B7A50">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00"/>
        <w:jc w:val="left"/>
        <w:textAlignment w:val="auto"/>
        <w:rPr>
          <w:rFonts w:hint="eastAsia" w:ascii="仿宋" w:hAnsi="仿宋" w:eastAsia="仿宋"/>
          <w:sz w:val="24"/>
          <w:szCs w:val="32"/>
          <w:lang w:val="en-US" w:eastAsia="zh-CN"/>
        </w:rPr>
      </w:pPr>
      <w:r>
        <w:rPr>
          <w:rFonts w:hint="eastAsia" w:ascii="仿宋" w:hAnsi="仿宋" w:eastAsia="仿宋"/>
          <w:sz w:val="24"/>
          <w:szCs w:val="32"/>
        </w:rPr>
        <w:t>注：行政村、村庄分类、传统村落如有更新，按最新文件要求执行。</w:t>
      </w:r>
    </w:p>
    <w:sectPr>
      <w:footerReference r:id="rId18" w:type="default"/>
      <w:pgSz w:w="11905" w:h="16838"/>
      <w:pgMar w:top="2098" w:right="1474" w:bottom="1984" w:left="1587" w:header="850" w:footer="1417" w:gutter="0"/>
      <w:pgBorders>
        <w:top w:val="none" w:sz="0" w:space="0"/>
        <w:left w:val="none" w:sz="0" w:space="0"/>
        <w:bottom w:val="none" w:sz="0" w:space="0"/>
        <w:right w:val="none" w:sz="0" w:space="0"/>
      </w:pgBorders>
      <w:pgNumType w:fmt="decimal"/>
      <w:cols w:space="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EAF068-600A-45D5-819D-C790504E13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930C0F1D-CBD6-4113-A1BA-9F4C868BA63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69079AA5-118A-46CC-8E8F-490DF12C1AB4}"/>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4" w:fontKey="{D02500B1-B2CF-467D-A5E4-1C8F0287C2F5}"/>
  </w:font>
  <w:font w:name="方正小标宋简体">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5" w:fontKey="{27710B42-0373-478C-9D57-15DCB19429F7}"/>
  </w:font>
  <w:font w:name="楷体">
    <w:panose1 w:val="02010609060101010101"/>
    <w:charset w:val="86"/>
    <w:family w:val="auto"/>
    <w:pitch w:val="default"/>
    <w:sig w:usb0="800002BF" w:usb1="38CF7CFA" w:usb2="00000016" w:usb3="00000000" w:csb0="00040001" w:csb1="00000000"/>
    <w:embedRegular r:id="rId6" w:fontKey="{81F16C1E-AB43-4AA7-A341-C70A56DB8CB6}"/>
  </w:font>
  <w:font w:name="华文中宋">
    <w:panose1 w:val="02010600040101010101"/>
    <w:charset w:val="86"/>
    <w:family w:val="auto"/>
    <w:pitch w:val="default"/>
    <w:sig w:usb0="00000287" w:usb1="080F0000" w:usb2="00000000" w:usb3="00000000" w:csb0="0004009F" w:csb1="DFD70000"/>
    <w:embedRegular r:id="rId7" w:fontKey="{A61F5C22-A328-43A2-9990-46185F282C5A}"/>
  </w:font>
  <w:font w:name="方正仿宋_GB2312">
    <w:panose1 w:val="02000000000000000000"/>
    <w:charset w:val="86"/>
    <w:family w:val="auto"/>
    <w:pitch w:val="default"/>
    <w:sig w:usb0="A00002BF" w:usb1="184F6CFA" w:usb2="00000012" w:usb3="00000000" w:csb0="00040001" w:csb1="00000000"/>
    <w:embedRegular r:id="rId8" w:fontKey="{B33BFE01-13FB-4245-B649-D65DEDF606CD}"/>
  </w:font>
  <w:font w:name="WPSEMBED1">
    <w:panose1 w:val="02000500000000000000"/>
    <w:charset w:val="86"/>
    <w:family w:val="auto"/>
    <w:pitch w:val="default"/>
    <w:sig w:usb0="A00002BF" w:usb1="38CF7CFA" w:usb2="00000016" w:usb3="00000000" w:csb0="00040001"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B03AC">
    <w:pPr>
      <w:pStyle w:val="11"/>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96D72">
    <w:pPr>
      <w:pStyle w:val="11"/>
    </w:pPr>
    <w:r>
      <w:pict>
        <v:shape id="文本框 819728973" o:spid="_x0000_s4099" o:spt="202" type="#_x0000_t202" style="position:absolute;left:0pt;margin-left:348.5pt;margin-top:0pt;height:32.4pt;width:93.7pt;mso-position-horizontal-relative:margin;z-index:251661312;mso-width-relative:margin;mso-height-relative:page;" filled="f" stroked="f" coordsize="21600,21600">
          <v:path/>
          <v:fill on="f" focussize="0,0"/>
          <v:stroke on="f" weight="0.5pt"/>
          <v:imagedata o:title=""/>
          <o:lock v:ext="edit" aspectratio="f"/>
          <v:textbox inset="0mm,0mm,0mm,0mm">
            <w:txbxContent>
              <w:p w14:paraId="4A9B28F6">
                <w:pPr>
                  <w:pStyle w:val="11"/>
                  <w:ind w:firstLine="360"/>
                  <w:jc w:val="right"/>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B54AE">
    <w:pPr>
      <w:pStyle w:val="11"/>
    </w:pPr>
    <w:r>
      <w:rPr>
        <w:sz w:val="18"/>
      </w:rPr>
      <w:pict>
        <v:shape id="_x0000_s4112" o:spid="_x0000_s4112" o:spt="202" type="#_x0000_t202" style="position:absolute;left:0pt;margin-left:0pt;margin-top:0pt;height:27.25pt;width:100.45pt;mso-position-horizontal-relative:margin;z-index:251663360;mso-width-relative:page;mso-height-relative:page;" filled="f" stroked="f" coordsize="21600,21600">
          <v:path/>
          <v:fill on="f" focussize="0,0"/>
          <v:stroke on="f"/>
          <v:imagedata o:title=""/>
          <o:lock v:ext="edit" aspectratio="f"/>
          <v:textbox inset="0mm,0mm,0mm,0mm">
            <w:txbxContent>
              <w:p w14:paraId="39871DCD">
                <w:pPr>
                  <w:pStyle w:val="11"/>
                  <w:keepNext w:val="0"/>
                  <w:keepLines w:val="0"/>
                  <w:pageBreakBefore w:val="0"/>
                  <w:widowControl w:val="0"/>
                  <w:kinsoku/>
                  <w:wordWrap/>
                  <w:overflowPunct/>
                  <w:topLinePunct w:val="0"/>
                  <w:bidi w:val="0"/>
                  <w:adjustRightInd/>
                  <w:snapToGrid w:val="0"/>
                  <w:ind w:left="0" w:leftChars="0" w:firstLine="0" w:firstLineChars="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5EC3">
    <w:pPr>
      <w:pStyle w:val="11"/>
    </w:pPr>
    <w:r>
      <w:pict>
        <v:shape id="_x0000_s4105" o:spid="_x0000_s4105"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weight="0.5pt"/>
          <v:imagedata o:title=""/>
          <o:lock v:ext="edit" aspectratio="f"/>
          <v:textbox inset="0mm,0mm,0mm,0mm" style="mso-fit-shape-to-text:t;">
            <w:txbxContent>
              <w:p w14:paraId="25B560C0">
                <w:pPr>
                  <w:pStyle w:val="11"/>
                  <w:wordWrap w:val="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36CB5">
    <w:pPr>
      <w:pStyle w:val="11"/>
    </w:pPr>
    <w:r>
      <w:rPr>
        <w:sz w:val="18"/>
      </w:rPr>
      <w:pict>
        <v:shape id="文本框 13" o:spid="_x0000_s4103"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14:paraId="41A9A06C">
                <w:pPr>
                  <w:pStyle w:val="11"/>
                  <w:wordWrap w:val="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BE63">
    <w:pPr>
      <w:pStyle w:val="11"/>
      <w:ind w:firstLine="360"/>
    </w:pPr>
    <w:r>
      <w:pict>
        <v:shape id="文本框 8"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544C7234">
                <w:pPr>
                  <w:pStyle w:val="11"/>
                  <w:wordWrap w:val="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9B7EB">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1E50F">
    <w:pPr>
      <w:jc w:val="center"/>
      <w:rPr>
        <w:rFonts w:ascii="Times New Roman" w:hAnsi="Times New Roman" w:eastAsia="仿宋_GB2312"/>
        <w:sz w:val="18"/>
        <w:szCs w:val="18"/>
        <w:lang w:val="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D29BC">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4B5CC">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8D1A8">
    <w:pPr>
      <w:jc w:val="center"/>
      <w:rPr>
        <w:rFonts w:ascii="Times New Roman" w:hAnsi="Times New Roman" w:eastAsia="仿宋_GB2312"/>
        <w:sz w:val="18"/>
        <w:szCs w:val="18"/>
        <w:lang w:val="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ED92B">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FEE05">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D7397">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line="360" w:lineRule="auto"/>
        <w:ind w:firstLine="632"/>
      </w:pPr>
      <w:r>
        <w:separator/>
      </w:r>
    </w:p>
  </w:footnote>
  <w:footnote w:type="continuationSeparator" w:id="9">
    <w:p>
      <w:pPr>
        <w:spacing w:line="360" w:lineRule="auto"/>
        <w:ind w:firstLine="632"/>
      </w:pPr>
      <w:r>
        <w:continuationSeparator/>
      </w:r>
    </w:p>
  </w:footnote>
  <w:footnote w:id="0">
    <w:p w14:paraId="0D1C9ED3">
      <w:pPr>
        <w:pStyle w:val="15"/>
        <w:snapToGrid w:val="0"/>
        <w:rPr>
          <w:rFonts w:hint="eastAsia" w:eastAsia="仿宋_GB2312"/>
          <w:lang w:eastAsia="zh-CN"/>
        </w:rPr>
      </w:pPr>
      <w:r>
        <w:rPr>
          <w:rStyle w:val="23"/>
        </w:rPr>
        <w:footnoteRef/>
      </w:r>
      <w:r>
        <w:t xml:space="preserve"> </w:t>
      </w:r>
      <w:r>
        <w:rPr>
          <w:rFonts w:hint="eastAsia"/>
          <w:lang w:eastAsia="zh-CN"/>
        </w:rPr>
        <w:t>行政村名称数据来源：</w:t>
      </w:r>
      <w:bookmarkStart w:id="187" w:name="OLE_LINK7"/>
      <w:r>
        <w:rPr>
          <w:rFonts w:hint="eastAsia"/>
          <w:lang w:eastAsia="zh-CN"/>
        </w:rPr>
        <w:t>自然资源部正式启用的</w:t>
      </w:r>
      <w:r>
        <w:rPr>
          <w:rFonts w:hint="eastAsia"/>
          <w:lang w:val="en-US" w:eastAsia="zh-CN"/>
        </w:rPr>
        <w:t>2020年全国国土变更调查成果</w:t>
      </w:r>
      <w:bookmarkEnd w:id="187"/>
      <w:r>
        <w:rPr>
          <w:rFonts w:hint="eastAsia"/>
          <w:lang w:val="en-US" w:eastAsia="zh-CN"/>
        </w:rPr>
        <w:t>的村级调查区图层。</w:t>
      </w:r>
    </w:p>
  </w:footnote>
  <w:footnote w:id="1">
    <w:p w14:paraId="1C214293">
      <w:pPr>
        <w:pStyle w:val="15"/>
        <w:snapToGrid w:val="0"/>
        <w:rPr>
          <w:rFonts w:hint="default" w:eastAsia="仿宋_GB2312"/>
          <w:lang w:val="en-US" w:eastAsia="zh-CN"/>
        </w:rPr>
      </w:pPr>
      <w:r>
        <w:rPr>
          <w:rStyle w:val="23"/>
        </w:rPr>
        <w:footnoteRef/>
      </w:r>
      <w:r>
        <w:t xml:space="preserve"> </w:t>
      </w:r>
      <w:bookmarkStart w:id="188" w:name="OLE_LINK6"/>
      <w:r>
        <w:rPr>
          <w:rFonts w:hint="eastAsia"/>
          <w:lang w:eastAsia="zh-CN"/>
        </w:rPr>
        <w:t>行政村名称“</w:t>
      </w:r>
      <w:r>
        <w:rPr>
          <w:rFonts w:hint="default"/>
          <w:lang w:val="en-US" w:eastAsia="zh-CN"/>
        </w:rPr>
        <w:t>荔城镇政府</w:t>
      </w:r>
      <w:r>
        <w:rPr>
          <w:rFonts w:hint="eastAsia"/>
          <w:lang w:val="en-US" w:eastAsia="zh-CN"/>
        </w:rPr>
        <w:t>”数据来源于</w:t>
      </w:r>
      <w:r>
        <w:rPr>
          <w:rFonts w:hint="eastAsia"/>
          <w:lang w:eastAsia="zh-CN"/>
        </w:rPr>
        <w:t>自然资源部正式启用的</w:t>
      </w:r>
      <w:r>
        <w:rPr>
          <w:rFonts w:hint="eastAsia"/>
          <w:lang w:val="en-US" w:eastAsia="zh-CN"/>
        </w:rPr>
        <w:t>2020年全国国土变更调查成果的村级调查区图层，</w:t>
      </w:r>
      <w:r>
        <w:rPr>
          <w:rFonts w:hint="eastAsia"/>
          <w:lang w:eastAsia="zh-CN"/>
        </w:rPr>
        <w:t>包括了民政部门的城北、城南、城东、城西、中山、沿江、建新、篓园</w:t>
      </w:r>
      <w:r>
        <w:rPr>
          <w:rFonts w:hint="eastAsia"/>
          <w:lang w:val="en-US" w:eastAsia="zh-CN"/>
        </w:rPr>
        <w:t>8个社区居委会。</w:t>
      </w:r>
      <w:bookmarkEnd w:id="188"/>
    </w:p>
  </w:footnote>
  <w:footnote w:id="2">
    <w:p w14:paraId="5BECBC89">
      <w:pPr>
        <w:pStyle w:val="15"/>
        <w:snapToGrid w:val="0"/>
        <w:rPr>
          <w:rFonts w:hint="eastAsia" w:ascii="仿宋" w:hAnsi="仿宋" w:eastAsia="仿宋" w:cs="仿宋"/>
        </w:rPr>
      </w:pPr>
      <w:r>
        <w:rPr>
          <w:rStyle w:val="23"/>
          <w:rFonts w:hint="eastAsia" w:ascii="仿宋" w:hAnsi="仿宋" w:eastAsia="仿宋" w:cs="仿宋"/>
        </w:rPr>
        <w:footnoteRef/>
      </w:r>
      <w:r>
        <w:rPr>
          <w:rFonts w:hint="eastAsia" w:ascii="仿宋" w:hAnsi="仿宋" w:eastAsia="仿宋" w:cs="仿宋"/>
        </w:rPr>
        <w:t xml:space="preserve"> </w:t>
      </w:r>
      <w:r>
        <w:rPr>
          <w:rFonts w:hint="eastAsia" w:ascii="仿宋" w:hAnsi="仿宋" w:eastAsia="仿宋" w:cs="仿宋"/>
          <w:lang w:eastAsia="zh-CN"/>
        </w:rPr>
        <w:t>行政村区名称数据来源：自然资源部正式启用的</w:t>
      </w:r>
      <w:r>
        <w:rPr>
          <w:rFonts w:hint="eastAsia" w:ascii="仿宋" w:hAnsi="仿宋" w:eastAsia="仿宋" w:cs="仿宋"/>
          <w:lang w:val="en-US" w:eastAsia="zh-CN"/>
        </w:rPr>
        <w:t>2020年全国国土变更调查成果的村级调查区图层。</w:t>
      </w:r>
    </w:p>
  </w:footnote>
  <w:footnote w:id="3">
    <w:p w14:paraId="6017BB9B">
      <w:pPr>
        <w:pStyle w:val="15"/>
        <w:snapToGrid w:val="0"/>
        <w:rPr>
          <w:rFonts w:hint="eastAsia" w:ascii="仿宋" w:hAnsi="仿宋" w:eastAsia="仿宋" w:cs="仿宋"/>
        </w:rPr>
      </w:pPr>
      <w:r>
        <w:rPr>
          <w:rStyle w:val="23"/>
          <w:rFonts w:hint="eastAsia" w:ascii="仿宋" w:hAnsi="仿宋" w:eastAsia="仿宋" w:cs="仿宋"/>
        </w:rPr>
        <w:footnoteRef/>
      </w:r>
      <w:r>
        <w:rPr>
          <w:rFonts w:hint="eastAsia" w:ascii="仿宋" w:hAnsi="仿宋" w:eastAsia="仿宋" w:cs="仿宋"/>
        </w:rPr>
        <w:t xml:space="preserve"> </w:t>
      </w:r>
      <w:r>
        <w:rPr>
          <w:rFonts w:hint="eastAsia" w:ascii="仿宋" w:hAnsi="仿宋" w:eastAsia="仿宋" w:cs="仿宋"/>
          <w:lang w:eastAsia="zh-CN"/>
        </w:rPr>
        <w:t>行政村名称“</w:t>
      </w:r>
      <w:r>
        <w:rPr>
          <w:rFonts w:hint="eastAsia" w:ascii="仿宋" w:hAnsi="仿宋" w:eastAsia="仿宋" w:cs="仿宋"/>
          <w:lang w:val="en-US" w:eastAsia="zh-CN"/>
        </w:rPr>
        <w:t>荔城镇政府”数据来源于</w:t>
      </w:r>
      <w:r>
        <w:rPr>
          <w:rFonts w:hint="eastAsia" w:ascii="仿宋" w:hAnsi="仿宋" w:eastAsia="仿宋" w:cs="仿宋"/>
          <w:lang w:eastAsia="zh-CN"/>
        </w:rPr>
        <w:t>自然资源部正式启用的</w:t>
      </w:r>
      <w:r>
        <w:rPr>
          <w:rFonts w:hint="eastAsia" w:ascii="仿宋" w:hAnsi="仿宋" w:eastAsia="仿宋" w:cs="仿宋"/>
          <w:lang w:val="en-US" w:eastAsia="zh-CN"/>
        </w:rPr>
        <w:t>2020年全国国土变更调查成果的村级调查区图层，</w:t>
      </w:r>
      <w:r>
        <w:rPr>
          <w:rFonts w:hint="eastAsia" w:ascii="仿宋" w:hAnsi="仿宋" w:eastAsia="仿宋" w:cs="仿宋"/>
          <w:lang w:eastAsia="zh-CN"/>
        </w:rPr>
        <w:t>包括了民政部门的城北、城南、城东、城西、中山、沿江、建新、篓园</w:t>
      </w:r>
      <w:r>
        <w:rPr>
          <w:rFonts w:hint="eastAsia" w:ascii="仿宋" w:hAnsi="仿宋" w:eastAsia="仿宋" w:cs="仿宋"/>
          <w:lang w:val="en-US" w:eastAsia="zh-CN"/>
        </w:rPr>
        <w:t>8个社区居委会。</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hdrShapeDefaults>
    <o:shapelayout v:ext="edit">
      <o:idmap v:ext="edit" data="4"/>
    </o:shapelayout>
  </w:hdrShapeDefaults>
  <w:footnotePr>
    <w:footnote w:id="8"/>
    <w:footnote w:id="9"/>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hhYWFmMDczYzA1ZTNjNTFlOWYwZWRkMjM1ODViN2YifQ=="/>
    <w:docVar w:name="KSO_WPS_MARK_KEY" w:val="64e1fe00-6dd4-49e3-9225-b045764e1b1f"/>
  </w:docVars>
  <w:rsids>
    <w:rsidRoot w:val="28180A73"/>
    <w:rsid w:val="00061F44"/>
    <w:rsid w:val="00072C34"/>
    <w:rsid w:val="00081860"/>
    <w:rsid w:val="000E3B76"/>
    <w:rsid w:val="00120C4C"/>
    <w:rsid w:val="00162322"/>
    <w:rsid w:val="00176647"/>
    <w:rsid w:val="001C7952"/>
    <w:rsid w:val="001D3CBC"/>
    <w:rsid w:val="002539C9"/>
    <w:rsid w:val="0028002D"/>
    <w:rsid w:val="003116B0"/>
    <w:rsid w:val="00384599"/>
    <w:rsid w:val="003A0322"/>
    <w:rsid w:val="003D348A"/>
    <w:rsid w:val="003D6226"/>
    <w:rsid w:val="003F05DA"/>
    <w:rsid w:val="00427F17"/>
    <w:rsid w:val="00440D1F"/>
    <w:rsid w:val="004D4728"/>
    <w:rsid w:val="004F0119"/>
    <w:rsid w:val="00530737"/>
    <w:rsid w:val="005E1B78"/>
    <w:rsid w:val="006105DF"/>
    <w:rsid w:val="00615F4F"/>
    <w:rsid w:val="006161EA"/>
    <w:rsid w:val="00657A50"/>
    <w:rsid w:val="00676530"/>
    <w:rsid w:val="00682E0F"/>
    <w:rsid w:val="006A2507"/>
    <w:rsid w:val="006B4F71"/>
    <w:rsid w:val="006E3949"/>
    <w:rsid w:val="00756C50"/>
    <w:rsid w:val="007D55FB"/>
    <w:rsid w:val="007F7BE5"/>
    <w:rsid w:val="008B3F4C"/>
    <w:rsid w:val="008E6C90"/>
    <w:rsid w:val="00902CF5"/>
    <w:rsid w:val="00910988"/>
    <w:rsid w:val="00944FF7"/>
    <w:rsid w:val="009926D6"/>
    <w:rsid w:val="00A20EDF"/>
    <w:rsid w:val="00A85A9B"/>
    <w:rsid w:val="00B029CD"/>
    <w:rsid w:val="00BA731A"/>
    <w:rsid w:val="00C46F67"/>
    <w:rsid w:val="00C70ABF"/>
    <w:rsid w:val="00C936B6"/>
    <w:rsid w:val="00C94A23"/>
    <w:rsid w:val="00CB6374"/>
    <w:rsid w:val="00D074CA"/>
    <w:rsid w:val="00D1064E"/>
    <w:rsid w:val="00D75615"/>
    <w:rsid w:val="00D81D57"/>
    <w:rsid w:val="00DC64F4"/>
    <w:rsid w:val="00E3058C"/>
    <w:rsid w:val="00E35FE7"/>
    <w:rsid w:val="00EC3638"/>
    <w:rsid w:val="00EF1414"/>
    <w:rsid w:val="01081C09"/>
    <w:rsid w:val="010D7DD7"/>
    <w:rsid w:val="01115B19"/>
    <w:rsid w:val="01123A41"/>
    <w:rsid w:val="012F0BBE"/>
    <w:rsid w:val="01305CF5"/>
    <w:rsid w:val="013B15CD"/>
    <w:rsid w:val="015E6884"/>
    <w:rsid w:val="01787946"/>
    <w:rsid w:val="018E53BB"/>
    <w:rsid w:val="01A12572"/>
    <w:rsid w:val="01AA68DA"/>
    <w:rsid w:val="01BE3217"/>
    <w:rsid w:val="01C42B8B"/>
    <w:rsid w:val="01E303F1"/>
    <w:rsid w:val="01FA4605"/>
    <w:rsid w:val="02072A78"/>
    <w:rsid w:val="02094A42"/>
    <w:rsid w:val="024C6AFF"/>
    <w:rsid w:val="0264786D"/>
    <w:rsid w:val="027F153C"/>
    <w:rsid w:val="02A515D7"/>
    <w:rsid w:val="02CF4AA4"/>
    <w:rsid w:val="03195159"/>
    <w:rsid w:val="03275B63"/>
    <w:rsid w:val="032F5513"/>
    <w:rsid w:val="03391357"/>
    <w:rsid w:val="035870A3"/>
    <w:rsid w:val="035A2792"/>
    <w:rsid w:val="037A2698"/>
    <w:rsid w:val="03A73084"/>
    <w:rsid w:val="03BC750B"/>
    <w:rsid w:val="03C71BBD"/>
    <w:rsid w:val="03C77B9D"/>
    <w:rsid w:val="03D8291E"/>
    <w:rsid w:val="04060CDF"/>
    <w:rsid w:val="040F20B8"/>
    <w:rsid w:val="041120FB"/>
    <w:rsid w:val="04133956"/>
    <w:rsid w:val="042E0790"/>
    <w:rsid w:val="04524CDB"/>
    <w:rsid w:val="047563BF"/>
    <w:rsid w:val="049D76C3"/>
    <w:rsid w:val="04CB2483"/>
    <w:rsid w:val="04EB48D3"/>
    <w:rsid w:val="052B4CCF"/>
    <w:rsid w:val="0549222B"/>
    <w:rsid w:val="054F6C10"/>
    <w:rsid w:val="056C5D82"/>
    <w:rsid w:val="05735E79"/>
    <w:rsid w:val="0574582B"/>
    <w:rsid w:val="0585598F"/>
    <w:rsid w:val="058D7738"/>
    <w:rsid w:val="059A3455"/>
    <w:rsid w:val="05A41053"/>
    <w:rsid w:val="05D13AC9"/>
    <w:rsid w:val="05D9297D"/>
    <w:rsid w:val="05F15F19"/>
    <w:rsid w:val="05F16607"/>
    <w:rsid w:val="060356C3"/>
    <w:rsid w:val="060774EA"/>
    <w:rsid w:val="061901FC"/>
    <w:rsid w:val="062A3CB6"/>
    <w:rsid w:val="06335DE1"/>
    <w:rsid w:val="065C36FD"/>
    <w:rsid w:val="066E30C6"/>
    <w:rsid w:val="06764430"/>
    <w:rsid w:val="067A5F0E"/>
    <w:rsid w:val="06A07251"/>
    <w:rsid w:val="06AD62E4"/>
    <w:rsid w:val="06EF4AD8"/>
    <w:rsid w:val="070D1E41"/>
    <w:rsid w:val="07235BE6"/>
    <w:rsid w:val="07354CB7"/>
    <w:rsid w:val="07A64AE1"/>
    <w:rsid w:val="07B90CB8"/>
    <w:rsid w:val="07CC279A"/>
    <w:rsid w:val="07CD77FB"/>
    <w:rsid w:val="07CF5DE6"/>
    <w:rsid w:val="07D6476B"/>
    <w:rsid w:val="07F47D8E"/>
    <w:rsid w:val="07F95559"/>
    <w:rsid w:val="084C1B44"/>
    <w:rsid w:val="086724C2"/>
    <w:rsid w:val="086A1FB2"/>
    <w:rsid w:val="089F67A2"/>
    <w:rsid w:val="08C2594B"/>
    <w:rsid w:val="08C416C3"/>
    <w:rsid w:val="08DE3437"/>
    <w:rsid w:val="09042673"/>
    <w:rsid w:val="092901AB"/>
    <w:rsid w:val="093A1442"/>
    <w:rsid w:val="09656ADE"/>
    <w:rsid w:val="0A3016CE"/>
    <w:rsid w:val="0A5D7DC7"/>
    <w:rsid w:val="0A6273E5"/>
    <w:rsid w:val="0A677C0D"/>
    <w:rsid w:val="0A8A06EA"/>
    <w:rsid w:val="0A8A693C"/>
    <w:rsid w:val="0A8F7AAE"/>
    <w:rsid w:val="0AAC68B2"/>
    <w:rsid w:val="0B114967"/>
    <w:rsid w:val="0B19630D"/>
    <w:rsid w:val="0B3568A8"/>
    <w:rsid w:val="0B3D34F9"/>
    <w:rsid w:val="0B514A22"/>
    <w:rsid w:val="0B5A4D4D"/>
    <w:rsid w:val="0B792C38"/>
    <w:rsid w:val="0B8F1D77"/>
    <w:rsid w:val="0BD936D7"/>
    <w:rsid w:val="0C0A7D34"/>
    <w:rsid w:val="0C2F779B"/>
    <w:rsid w:val="0C572C3D"/>
    <w:rsid w:val="0C851169"/>
    <w:rsid w:val="0CC8503D"/>
    <w:rsid w:val="0CD05C5F"/>
    <w:rsid w:val="0CFA0D01"/>
    <w:rsid w:val="0D2E7A52"/>
    <w:rsid w:val="0D2F5B49"/>
    <w:rsid w:val="0D4C1C87"/>
    <w:rsid w:val="0D7172D7"/>
    <w:rsid w:val="0D75742F"/>
    <w:rsid w:val="0D7A4A46"/>
    <w:rsid w:val="0D894C89"/>
    <w:rsid w:val="0DA66284"/>
    <w:rsid w:val="0DBC26D5"/>
    <w:rsid w:val="0DD63252"/>
    <w:rsid w:val="0E250E55"/>
    <w:rsid w:val="0E7771D7"/>
    <w:rsid w:val="0EBB3568"/>
    <w:rsid w:val="0F0D5446"/>
    <w:rsid w:val="0F140720"/>
    <w:rsid w:val="0F264E85"/>
    <w:rsid w:val="0F4B3FBB"/>
    <w:rsid w:val="0F64150A"/>
    <w:rsid w:val="0F711E78"/>
    <w:rsid w:val="0F7723EF"/>
    <w:rsid w:val="0F8031D8"/>
    <w:rsid w:val="0F854CFE"/>
    <w:rsid w:val="0F89548A"/>
    <w:rsid w:val="0FDC36E0"/>
    <w:rsid w:val="0FF30ADF"/>
    <w:rsid w:val="10091618"/>
    <w:rsid w:val="104B4477"/>
    <w:rsid w:val="10612637"/>
    <w:rsid w:val="106D2640"/>
    <w:rsid w:val="107A7C53"/>
    <w:rsid w:val="10853E2D"/>
    <w:rsid w:val="10855BDB"/>
    <w:rsid w:val="108D2A4C"/>
    <w:rsid w:val="108F59DC"/>
    <w:rsid w:val="10B1077E"/>
    <w:rsid w:val="10BB15FD"/>
    <w:rsid w:val="10BE10ED"/>
    <w:rsid w:val="10CC380A"/>
    <w:rsid w:val="11684A43"/>
    <w:rsid w:val="11893834"/>
    <w:rsid w:val="11993ACD"/>
    <w:rsid w:val="11AB78C4"/>
    <w:rsid w:val="11B738FA"/>
    <w:rsid w:val="121A2353"/>
    <w:rsid w:val="12274A70"/>
    <w:rsid w:val="12396910"/>
    <w:rsid w:val="12492BE4"/>
    <w:rsid w:val="1287465E"/>
    <w:rsid w:val="12AF5192"/>
    <w:rsid w:val="12E017EF"/>
    <w:rsid w:val="12F56B85"/>
    <w:rsid w:val="12F928B1"/>
    <w:rsid w:val="134A261A"/>
    <w:rsid w:val="136561BE"/>
    <w:rsid w:val="13880C13"/>
    <w:rsid w:val="139710A5"/>
    <w:rsid w:val="13A62350"/>
    <w:rsid w:val="13A73A0D"/>
    <w:rsid w:val="13D36C5E"/>
    <w:rsid w:val="13F35552"/>
    <w:rsid w:val="14184FB8"/>
    <w:rsid w:val="14877E44"/>
    <w:rsid w:val="148E5073"/>
    <w:rsid w:val="14AD3D96"/>
    <w:rsid w:val="14CB3DD9"/>
    <w:rsid w:val="14CD5092"/>
    <w:rsid w:val="14D13A8F"/>
    <w:rsid w:val="152D72DB"/>
    <w:rsid w:val="1537146E"/>
    <w:rsid w:val="1550571B"/>
    <w:rsid w:val="159B7C4F"/>
    <w:rsid w:val="15C076B6"/>
    <w:rsid w:val="15CE0FB9"/>
    <w:rsid w:val="15EA028F"/>
    <w:rsid w:val="163671EE"/>
    <w:rsid w:val="16693135"/>
    <w:rsid w:val="1669752E"/>
    <w:rsid w:val="166B6015"/>
    <w:rsid w:val="16704724"/>
    <w:rsid w:val="16900E36"/>
    <w:rsid w:val="169E2EAA"/>
    <w:rsid w:val="16C17241"/>
    <w:rsid w:val="16F92E7F"/>
    <w:rsid w:val="17231CAA"/>
    <w:rsid w:val="17372983"/>
    <w:rsid w:val="173C2D6C"/>
    <w:rsid w:val="177B7D38"/>
    <w:rsid w:val="177E008F"/>
    <w:rsid w:val="17994E23"/>
    <w:rsid w:val="17BB0135"/>
    <w:rsid w:val="17D336D0"/>
    <w:rsid w:val="17DB07D7"/>
    <w:rsid w:val="17F35B20"/>
    <w:rsid w:val="180B10BC"/>
    <w:rsid w:val="180E64B6"/>
    <w:rsid w:val="18176D1C"/>
    <w:rsid w:val="184A606C"/>
    <w:rsid w:val="18524E9D"/>
    <w:rsid w:val="186758E2"/>
    <w:rsid w:val="186B6FCB"/>
    <w:rsid w:val="18E84F59"/>
    <w:rsid w:val="19193365"/>
    <w:rsid w:val="19212219"/>
    <w:rsid w:val="192405BE"/>
    <w:rsid w:val="195051E7"/>
    <w:rsid w:val="19516C77"/>
    <w:rsid w:val="195645B9"/>
    <w:rsid w:val="19571BA8"/>
    <w:rsid w:val="195D07B7"/>
    <w:rsid w:val="196229FF"/>
    <w:rsid w:val="198057DF"/>
    <w:rsid w:val="19C72DC1"/>
    <w:rsid w:val="19CE05F3"/>
    <w:rsid w:val="19EC6CCB"/>
    <w:rsid w:val="19F129A1"/>
    <w:rsid w:val="19F91738"/>
    <w:rsid w:val="1A045DC3"/>
    <w:rsid w:val="1A352420"/>
    <w:rsid w:val="1A4563DB"/>
    <w:rsid w:val="1A886227"/>
    <w:rsid w:val="1AAE5D2F"/>
    <w:rsid w:val="1ACD7CE7"/>
    <w:rsid w:val="1B0E67CD"/>
    <w:rsid w:val="1B527002"/>
    <w:rsid w:val="1B6826D6"/>
    <w:rsid w:val="1BCE26A5"/>
    <w:rsid w:val="1BE24BBA"/>
    <w:rsid w:val="1BF16314"/>
    <w:rsid w:val="1C0D4CD7"/>
    <w:rsid w:val="1C356329"/>
    <w:rsid w:val="1CA37410"/>
    <w:rsid w:val="1CA613B3"/>
    <w:rsid w:val="1CAC44F0"/>
    <w:rsid w:val="1CB97990"/>
    <w:rsid w:val="1CC96E50"/>
    <w:rsid w:val="1CD06430"/>
    <w:rsid w:val="1CDA105D"/>
    <w:rsid w:val="1D1C340B"/>
    <w:rsid w:val="1D2C0B73"/>
    <w:rsid w:val="1D48246B"/>
    <w:rsid w:val="1D507571"/>
    <w:rsid w:val="1D5170CA"/>
    <w:rsid w:val="1D721F11"/>
    <w:rsid w:val="1D752B34"/>
    <w:rsid w:val="1D796913"/>
    <w:rsid w:val="1DBE7DF8"/>
    <w:rsid w:val="1DC1221D"/>
    <w:rsid w:val="1DD27F86"/>
    <w:rsid w:val="1DED4DC0"/>
    <w:rsid w:val="1DF1737B"/>
    <w:rsid w:val="1E004AF3"/>
    <w:rsid w:val="1E417F36"/>
    <w:rsid w:val="1E42510C"/>
    <w:rsid w:val="1E635082"/>
    <w:rsid w:val="1E7828DC"/>
    <w:rsid w:val="1EC43D73"/>
    <w:rsid w:val="1ED41ADC"/>
    <w:rsid w:val="1EDB57C2"/>
    <w:rsid w:val="1F1F369F"/>
    <w:rsid w:val="1F6E1F30"/>
    <w:rsid w:val="1F9C6A9E"/>
    <w:rsid w:val="1FCA3555"/>
    <w:rsid w:val="1FD44489"/>
    <w:rsid w:val="1FDF56B7"/>
    <w:rsid w:val="1FE741BD"/>
    <w:rsid w:val="1FEC42D3"/>
    <w:rsid w:val="1FF00D30"/>
    <w:rsid w:val="2008400B"/>
    <w:rsid w:val="20260F46"/>
    <w:rsid w:val="20322F5E"/>
    <w:rsid w:val="20457135"/>
    <w:rsid w:val="204C078D"/>
    <w:rsid w:val="204C098D"/>
    <w:rsid w:val="20605D1D"/>
    <w:rsid w:val="207277FE"/>
    <w:rsid w:val="20D44015"/>
    <w:rsid w:val="20E47A14"/>
    <w:rsid w:val="210466A8"/>
    <w:rsid w:val="21215ED1"/>
    <w:rsid w:val="21747CD2"/>
    <w:rsid w:val="21845A3B"/>
    <w:rsid w:val="219A700D"/>
    <w:rsid w:val="21CA5B44"/>
    <w:rsid w:val="22053DC1"/>
    <w:rsid w:val="22090649"/>
    <w:rsid w:val="220A23E4"/>
    <w:rsid w:val="2210339D"/>
    <w:rsid w:val="2221772E"/>
    <w:rsid w:val="222B7BAE"/>
    <w:rsid w:val="22437BC1"/>
    <w:rsid w:val="22484CBB"/>
    <w:rsid w:val="229B4DEB"/>
    <w:rsid w:val="22E95C54"/>
    <w:rsid w:val="230010F2"/>
    <w:rsid w:val="23152DEF"/>
    <w:rsid w:val="231828DF"/>
    <w:rsid w:val="231B417D"/>
    <w:rsid w:val="2329689A"/>
    <w:rsid w:val="238C0BD7"/>
    <w:rsid w:val="23B5012E"/>
    <w:rsid w:val="23E6478B"/>
    <w:rsid w:val="23FE3883"/>
    <w:rsid w:val="2423153B"/>
    <w:rsid w:val="244F2331"/>
    <w:rsid w:val="245060A9"/>
    <w:rsid w:val="24661428"/>
    <w:rsid w:val="246E31A4"/>
    <w:rsid w:val="24724271"/>
    <w:rsid w:val="2483647E"/>
    <w:rsid w:val="24C04A9F"/>
    <w:rsid w:val="24C7636B"/>
    <w:rsid w:val="24DC2B0D"/>
    <w:rsid w:val="250A44A9"/>
    <w:rsid w:val="250A6257"/>
    <w:rsid w:val="251A293E"/>
    <w:rsid w:val="25472F43"/>
    <w:rsid w:val="25AB464E"/>
    <w:rsid w:val="25AF7C37"/>
    <w:rsid w:val="25B03D75"/>
    <w:rsid w:val="25B34B41"/>
    <w:rsid w:val="25B83F05"/>
    <w:rsid w:val="25C93644"/>
    <w:rsid w:val="26094761"/>
    <w:rsid w:val="260A17F9"/>
    <w:rsid w:val="26397661"/>
    <w:rsid w:val="265359DC"/>
    <w:rsid w:val="266433B0"/>
    <w:rsid w:val="269E2A42"/>
    <w:rsid w:val="26DB434F"/>
    <w:rsid w:val="26EE1C21"/>
    <w:rsid w:val="2705317A"/>
    <w:rsid w:val="272D4C69"/>
    <w:rsid w:val="274275C4"/>
    <w:rsid w:val="2753038A"/>
    <w:rsid w:val="27602AA7"/>
    <w:rsid w:val="277238A2"/>
    <w:rsid w:val="277A3B68"/>
    <w:rsid w:val="27835C90"/>
    <w:rsid w:val="278F0C96"/>
    <w:rsid w:val="27A60F63"/>
    <w:rsid w:val="27F9780B"/>
    <w:rsid w:val="28180A73"/>
    <w:rsid w:val="281B1411"/>
    <w:rsid w:val="2868597F"/>
    <w:rsid w:val="287322F6"/>
    <w:rsid w:val="287913FB"/>
    <w:rsid w:val="287A75EC"/>
    <w:rsid w:val="28835C3A"/>
    <w:rsid w:val="288B76AF"/>
    <w:rsid w:val="289A5FDD"/>
    <w:rsid w:val="28C013B8"/>
    <w:rsid w:val="29564DFD"/>
    <w:rsid w:val="297B7724"/>
    <w:rsid w:val="29820AB2"/>
    <w:rsid w:val="29824AE9"/>
    <w:rsid w:val="29A24CB1"/>
    <w:rsid w:val="29A94291"/>
    <w:rsid w:val="29C72969"/>
    <w:rsid w:val="29D84D5D"/>
    <w:rsid w:val="29E269C2"/>
    <w:rsid w:val="29F413F4"/>
    <w:rsid w:val="29F85218"/>
    <w:rsid w:val="2A333AC3"/>
    <w:rsid w:val="2A7A3E7F"/>
    <w:rsid w:val="2A816FBC"/>
    <w:rsid w:val="2ACF7D27"/>
    <w:rsid w:val="2AE57593"/>
    <w:rsid w:val="2AF27EBA"/>
    <w:rsid w:val="2AF7102C"/>
    <w:rsid w:val="2B1971F4"/>
    <w:rsid w:val="2B1A1643"/>
    <w:rsid w:val="2B223FCA"/>
    <w:rsid w:val="2B255B99"/>
    <w:rsid w:val="2B911481"/>
    <w:rsid w:val="2BE07D12"/>
    <w:rsid w:val="2C2722A8"/>
    <w:rsid w:val="2C35582F"/>
    <w:rsid w:val="2C597C75"/>
    <w:rsid w:val="2C932FD6"/>
    <w:rsid w:val="2CAE7E10"/>
    <w:rsid w:val="2CB5119F"/>
    <w:rsid w:val="2CB52AB9"/>
    <w:rsid w:val="2CBC077F"/>
    <w:rsid w:val="2CC55886"/>
    <w:rsid w:val="2CCA2E9C"/>
    <w:rsid w:val="2CED0939"/>
    <w:rsid w:val="2D593DF3"/>
    <w:rsid w:val="2DB6793F"/>
    <w:rsid w:val="2E1B058C"/>
    <w:rsid w:val="2E3D769E"/>
    <w:rsid w:val="2E4C78E1"/>
    <w:rsid w:val="2E61338C"/>
    <w:rsid w:val="2E884DBD"/>
    <w:rsid w:val="2E954DE4"/>
    <w:rsid w:val="2E9F3EB4"/>
    <w:rsid w:val="2EAD65D1"/>
    <w:rsid w:val="2EDA071F"/>
    <w:rsid w:val="2F081A5A"/>
    <w:rsid w:val="2F161B2C"/>
    <w:rsid w:val="2F4105DA"/>
    <w:rsid w:val="2F4754C4"/>
    <w:rsid w:val="2F4862FA"/>
    <w:rsid w:val="2F68699C"/>
    <w:rsid w:val="2FA373A6"/>
    <w:rsid w:val="2FC040E2"/>
    <w:rsid w:val="2FC24B19"/>
    <w:rsid w:val="2FEA73B1"/>
    <w:rsid w:val="30182170"/>
    <w:rsid w:val="303E4DEF"/>
    <w:rsid w:val="30493293"/>
    <w:rsid w:val="304A1921"/>
    <w:rsid w:val="304B698A"/>
    <w:rsid w:val="305C77CF"/>
    <w:rsid w:val="30CA5F6E"/>
    <w:rsid w:val="30EE1123"/>
    <w:rsid w:val="3106021B"/>
    <w:rsid w:val="31085D41"/>
    <w:rsid w:val="31203028"/>
    <w:rsid w:val="31280191"/>
    <w:rsid w:val="315D180B"/>
    <w:rsid w:val="317F7A61"/>
    <w:rsid w:val="31A33CBC"/>
    <w:rsid w:val="31C05C0B"/>
    <w:rsid w:val="31F25524"/>
    <w:rsid w:val="31FD6855"/>
    <w:rsid w:val="32056724"/>
    <w:rsid w:val="320F5D20"/>
    <w:rsid w:val="32230959"/>
    <w:rsid w:val="32254574"/>
    <w:rsid w:val="3225661D"/>
    <w:rsid w:val="324E1E79"/>
    <w:rsid w:val="324E1F59"/>
    <w:rsid w:val="325D768B"/>
    <w:rsid w:val="32672F3B"/>
    <w:rsid w:val="326E1AE8"/>
    <w:rsid w:val="32892BF6"/>
    <w:rsid w:val="32BF7281"/>
    <w:rsid w:val="32D00D2C"/>
    <w:rsid w:val="32EB591A"/>
    <w:rsid w:val="333F5C66"/>
    <w:rsid w:val="3344502A"/>
    <w:rsid w:val="33723946"/>
    <w:rsid w:val="33B253E8"/>
    <w:rsid w:val="34074FA3"/>
    <w:rsid w:val="3454129D"/>
    <w:rsid w:val="3463585F"/>
    <w:rsid w:val="34684D49"/>
    <w:rsid w:val="34E757BD"/>
    <w:rsid w:val="350A1334"/>
    <w:rsid w:val="3510148F"/>
    <w:rsid w:val="35186F0E"/>
    <w:rsid w:val="351A24E7"/>
    <w:rsid w:val="35215623"/>
    <w:rsid w:val="3531125E"/>
    <w:rsid w:val="35467F83"/>
    <w:rsid w:val="3583008C"/>
    <w:rsid w:val="3592742B"/>
    <w:rsid w:val="35C0308E"/>
    <w:rsid w:val="36070CBD"/>
    <w:rsid w:val="360B340E"/>
    <w:rsid w:val="36806DE1"/>
    <w:rsid w:val="3684230E"/>
    <w:rsid w:val="368D0EDC"/>
    <w:rsid w:val="368F10CE"/>
    <w:rsid w:val="36942298"/>
    <w:rsid w:val="36B50719"/>
    <w:rsid w:val="36C14FD9"/>
    <w:rsid w:val="36D44054"/>
    <w:rsid w:val="37092813"/>
    <w:rsid w:val="372C4753"/>
    <w:rsid w:val="372D05C8"/>
    <w:rsid w:val="3748158D"/>
    <w:rsid w:val="375810A4"/>
    <w:rsid w:val="3762130C"/>
    <w:rsid w:val="376E6B1A"/>
    <w:rsid w:val="3772660A"/>
    <w:rsid w:val="3776777C"/>
    <w:rsid w:val="37826121"/>
    <w:rsid w:val="378B7A92"/>
    <w:rsid w:val="379158FF"/>
    <w:rsid w:val="37CB5D1A"/>
    <w:rsid w:val="37ED3F37"/>
    <w:rsid w:val="37F60FE9"/>
    <w:rsid w:val="382C1A2C"/>
    <w:rsid w:val="383218F5"/>
    <w:rsid w:val="38324B63"/>
    <w:rsid w:val="383B4C4E"/>
    <w:rsid w:val="38A30A45"/>
    <w:rsid w:val="38CC3AF8"/>
    <w:rsid w:val="38D64977"/>
    <w:rsid w:val="38E45701"/>
    <w:rsid w:val="38F94FFF"/>
    <w:rsid w:val="393B0C7E"/>
    <w:rsid w:val="39837E8B"/>
    <w:rsid w:val="39C62C3D"/>
    <w:rsid w:val="39DF3CFF"/>
    <w:rsid w:val="3A080B60"/>
    <w:rsid w:val="3A4F5EBD"/>
    <w:rsid w:val="3A7A7C24"/>
    <w:rsid w:val="3A9B7C26"/>
    <w:rsid w:val="3AA658A9"/>
    <w:rsid w:val="3AAF372C"/>
    <w:rsid w:val="3AFC1874"/>
    <w:rsid w:val="3B0C4680"/>
    <w:rsid w:val="3B697D2B"/>
    <w:rsid w:val="3B7641EF"/>
    <w:rsid w:val="3B8209C5"/>
    <w:rsid w:val="3B922D7D"/>
    <w:rsid w:val="3BCE402B"/>
    <w:rsid w:val="3BFF77DE"/>
    <w:rsid w:val="3C0B7252"/>
    <w:rsid w:val="3C3A346E"/>
    <w:rsid w:val="3C460065"/>
    <w:rsid w:val="3C4E6795"/>
    <w:rsid w:val="3C6D73A0"/>
    <w:rsid w:val="3C94187F"/>
    <w:rsid w:val="3CB23AAD"/>
    <w:rsid w:val="3CB576DF"/>
    <w:rsid w:val="3CB656CF"/>
    <w:rsid w:val="3CC316B6"/>
    <w:rsid w:val="3CD94A35"/>
    <w:rsid w:val="3CE21B3C"/>
    <w:rsid w:val="3CE33DBF"/>
    <w:rsid w:val="3D271C45"/>
    <w:rsid w:val="3D3C196F"/>
    <w:rsid w:val="3D655C32"/>
    <w:rsid w:val="3DA6700D"/>
    <w:rsid w:val="3DAA1A9C"/>
    <w:rsid w:val="3DAD4710"/>
    <w:rsid w:val="3DD04E2F"/>
    <w:rsid w:val="3DE16198"/>
    <w:rsid w:val="3DE76DA0"/>
    <w:rsid w:val="3E493D9A"/>
    <w:rsid w:val="3E4B54BF"/>
    <w:rsid w:val="3EA177D5"/>
    <w:rsid w:val="3EA51073"/>
    <w:rsid w:val="3EA66B99"/>
    <w:rsid w:val="3EB47508"/>
    <w:rsid w:val="3EC040FF"/>
    <w:rsid w:val="3EDC6A5F"/>
    <w:rsid w:val="3EF21022"/>
    <w:rsid w:val="3EF9046A"/>
    <w:rsid w:val="3EFB0C93"/>
    <w:rsid w:val="3EFF3C1D"/>
    <w:rsid w:val="3F0538C0"/>
    <w:rsid w:val="3F6B309D"/>
    <w:rsid w:val="3F7B6278"/>
    <w:rsid w:val="3F9B06C8"/>
    <w:rsid w:val="3FA25381"/>
    <w:rsid w:val="3FBB0422"/>
    <w:rsid w:val="3FBE7ED6"/>
    <w:rsid w:val="3FD6525C"/>
    <w:rsid w:val="3FDB0AC5"/>
    <w:rsid w:val="3FEB51AC"/>
    <w:rsid w:val="3FF56F7C"/>
    <w:rsid w:val="404B3E9C"/>
    <w:rsid w:val="40522D4B"/>
    <w:rsid w:val="40972C3D"/>
    <w:rsid w:val="40980764"/>
    <w:rsid w:val="409A44DC"/>
    <w:rsid w:val="40D82C46"/>
    <w:rsid w:val="40DE086C"/>
    <w:rsid w:val="41067DC3"/>
    <w:rsid w:val="41210759"/>
    <w:rsid w:val="41273F10"/>
    <w:rsid w:val="41566655"/>
    <w:rsid w:val="417E7959"/>
    <w:rsid w:val="419929E5"/>
    <w:rsid w:val="41A47AEC"/>
    <w:rsid w:val="41A76EB0"/>
    <w:rsid w:val="41AD181F"/>
    <w:rsid w:val="41AF2209"/>
    <w:rsid w:val="41E06866"/>
    <w:rsid w:val="41F14F0A"/>
    <w:rsid w:val="421309EA"/>
    <w:rsid w:val="422A5410"/>
    <w:rsid w:val="42312C1E"/>
    <w:rsid w:val="425F59DD"/>
    <w:rsid w:val="426C3C56"/>
    <w:rsid w:val="42770F78"/>
    <w:rsid w:val="428C3E4F"/>
    <w:rsid w:val="428C475C"/>
    <w:rsid w:val="429B6850"/>
    <w:rsid w:val="4301714C"/>
    <w:rsid w:val="430467FE"/>
    <w:rsid w:val="43085A29"/>
    <w:rsid w:val="43400989"/>
    <w:rsid w:val="43770B04"/>
    <w:rsid w:val="43847424"/>
    <w:rsid w:val="43B81E94"/>
    <w:rsid w:val="43CA332A"/>
    <w:rsid w:val="43F32881"/>
    <w:rsid w:val="43FB2952"/>
    <w:rsid w:val="441F72F5"/>
    <w:rsid w:val="44B813D4"/>
    <w:rsid w:val="44B87626"/>
    <w:rsid w:val="44E067F3"/>
    <w:rsid w:val="44E24215"/>
    <w:rsid w:val="44F85C75"/>
    <w:rsid w:val="45195E47"/>
    <w:rsid w:val="45230F44"/>
    <w:rsid w:val="45576E3F"/>
    <w:rsid w:val="455E5996"/>
    <w:rsid w:val="457E2949"/>
    <w:rsid w:val="45820A65"/>
    <w:rsid w:val="45CC759A"/>
    <w:rsid w:val="45DA24A6"/>
    <w:rsid w:val="4620004A"/>
    <w:rsid w:val="4642004E"/>
    <w:rsid w:val="465346DC"/>
    <w:rsid w:val="46D324F5"/>
    <w:rsid w:val="46E022CC"/>
    <w:rsid w:val="46FA2178"/>
    <w:rsid w:val="47134FE8"/>
    <w:rsid w:val="47170634"/>
    <w:rsid w:val="47484C86"/>
    <w:rsid w:val="474A3B9E"/>
    <w:rsid w:val="477517FF"/>
    <w:rsid w:val="478B1022"/>
    <w:rsid w:val="47A72F0F"/>
    <w:rsid w:val="47AA594C"/>
    <w:rsid w:val="4802311A"/>
    <w:rsid w:val="480C0D42"/>
    <w:rsid w:val="483457B6"/>
    <w:rsid w:val="485F6737"/>
    <w:rsid w:val="489363E0"/>
    <w:rsid w:val="48C90054"/>
    <w:rsid w:val="48CE11C6"/>
    <w:rsid w:val="48D65CE6"/>
    <w:rsid w:val="48DC465D"/>
    <w:rsid w:val="48E7672C"/>
    <w:rsid w:val="48FB5D0B"/>
    <w:rsid w:val="48FD1AAC"/>
    <w:rsid w:val="490746D8"/>
    <w:rsid w:val="493374F0"/>
    <w:rsid w:val="49357497"/>
    <w:rsid w:val="498B4E7F"/>
    <w:rsid w:val="49B760FE"/>
    <w:rsid w:val="49F301B9"/>
    <w:rsid w:val="4A1F6D57"/>
    <w:rsid w:val="4A325785"/>
    <w:rsid w:val="4A563B69"/>
    <w:rsid w:val="4A58343D"/>
    <w:rsid w:val="4ACF5222"/>
    <w:rsid w:val="4AD827D0"/>
    <w:rsid w:val="4B496BA3"/>
    <w:rsid w:val="4B63653E"/>
    <w:rsid w:val="4B7818BD"/>
    <w:rsid w:val="4B7E614E"/>
    <w:rsid w:val="4BBD21BE"/>
    <w:rsid w:val="4BC82845"/>
    <w:rsid w:val="4BD05255"/>
    <w:rsid w:val="4C001FDF"/>
    <w:rsid w:val="4C1710D6"/>
    <w:rsid w:val="4C196BFC"/>
    <w:rsid w:val="4C9945A0"/>
    <w:rsid w:val="4CB66B41"/>
    <w:rsid w:val="4CB70718"/>
    <w:rsid w:val="4CD60F91"/>
    <w:rsid w:val="4CE37625"/>
    <w:rsid w:val="4CFA6A2E"/>
    <w:rsid w:val="4D227D33"/>
    <w:rsid w:val="4D5E12D7"/>
    <w:rsid w:val="4D9724CF"/>
    <w:rsid w:val="4DF3529D"/>
    <w:rsid w:val="4DF521E1"/>
    <w:rsid w:val="4E2200EA"/>
    <w:rsid w:val="4E571C5E"/>
    <w:rsid w:val="4E961CD0"/>
    <w:rsid w:val="4EA65FBF"/>
    <w:rsid w:val="4EE96D5A"/>
    <w:rsid w:val="4F3501F1"/>
    <w:rsid w:val="4F6B58A1"/>
    <w:rsid w:val="4F8C7647"/>
    <w:rsid w:val="4FAB400F"/>
    <w:rsid w:val="4FC5107B"/>
    <w:rsid w:val="4FD57CF3"/>
    <w:rsid w:val="4FE211F8"/>
    <w:rsid w:val="50016325"/>
    <w:rsid w:val="50054F94"/>
    <w:rsid w:val="50494EF1"/>
    <w:rsid w:val="508456FD"/>
    <w:rsid w:val="50852AB2"/>
    <w:rsid w:val="50865E97"/>
    <w:rsid w:val="50A126B5"/>
    <w:rsid w:val="50B023DD"/>
    <w:rsid w:val="50CD4459"/>
    <w:rsid w:val="50D9363A"/>
    <w:rsid w:val="50FD036E"/>
    <w:rsid w:val="51257DF2"/>
    <w:rsid w:val="51330FB5"/>
    <w:rsid w:val="51890380"/>
    <w:rsid w:val="518A4708"/>
    <w:rsid w:val="518E5997"/>
    <w:rsid w:val="51917A92"/>
    <w:rsid w:val="51C468EB"/>
    <w:rsid w:val="51D33CF1"/>
    <w:rsid w:val="51F15F26"/>
    <w:rsid w:val="51F872B4"/>
    <w:rsid w:val="51F92A22"/>
    <w:rsid w:val="522B1271"/>
    <w:rsid w:val="5260529F"/>
    <w:rsid w:val="52614F6D"/>
    <w:rsid w:val="526D1A50"/>
    <w:rsid w:val="528A0BA7"/>
    <w:rsid w:val="52936458"/>
    <w:rsid w:val="52C44961"/>
    <w:rsid w:val="52E35A39"/>
    <w:rsid w:val="52FB3A7A"/>
    <w:rsid w:val="53000B16"/>
    <w:rsid w:val="530D4FE1"/>
    <w:rsid w:val="532365B3"/>
    <w:rsid w:val="53274662"/>
    <w:rsid w:val="533B1B4E"/>
    <w:rsid w:val="534529CD"/>
    <w:rsid w:val="53807561"/>
    <w:rsid w:val="538A6632"/>
    <w:rsid w:val="53915C12"/>
    <w:rsid w:val="53BA14FF"/>
    <w:rsid w:val="53D224B3"/>
    <w:rsid w:val="53DD49B3"/>
    <w:rsid w:val="53EA11F2"/>
    <w:rsid w:val="54014B46"/>
    <w:rsid w:val="54216F96"/>
    <w:rsid w:val="543E18F6"/>
    <w:rsid w:val="54581F81"/>
    <w:rsid w:val="547D408D"/>
    <w:rsid w:val="54837309"/>
    <w:rsid w:val="548D462B"/>
    <w:rsid w:val="549C3AEA"/>
    <w:rsid w:val="54C55B73"/>
    <w:rsid w:val="54D47B64"/>
    <w:rsid w:val="54E11637"/>
    <w:rsid w:val="54F226E1"/>
    <w:rsid w:val="55067F3A"/>
    <w:rsid w:val="55102B67"/>
    <w:rsid w:val="553B5F23"/>
    <w:rsid w:val="55540CA5"/>
    <w:rsid w:val="555551A6"/>
    <w:rsid w:val="55823A64"/>
    <w:rsid w:val="55BE055C"/>
    <w:rsid w:val="55DD58F0"/>
    <w:rsid w:val="562C577E"/>
    <w:rsid w:val="564A6F3E"/>
    <w:rsid w:val="56552F27"/>
    <w:rsid w:val="571B4EC4"/>
    <w:rsid w:val="577E341F"/>
    <w:rsid w:val="57EC78BB"/>
    <w:rsid w:val="57F549C2"/>
    <w:rsid w:val="57F942EF"/>
    <w:rsid w:val="58051558"/>
    <w:rsid w:val="580E5A83"/>
    <w:rsid w:val="58254B7B"/>
    <w:rsid w:val="582738AE"/>
    <w:rsid w:val="582A3F3F"/>
    <w:rsid w:val="582E57DE"/>
    <w:rsid w:val="5855720E"/>
    <w:rsid w:val="585711D8"/>
    <w:rsid w:val="58584F50"/>
    <w:rsid w:val="585F1E3B"/>
    <w:rsid w:val="587C3386"/>
    <w:rsid w:val="588178CE"/>
    <w:rsid w:val="589C6BEB"/>
    <w:rsid w:val="58A12453"/>
    <w:rsid w:val="58A4109F"/>
    <w:rsid w:val="58D40CA9"/>
    <w:rsid w:val="594A131E"/>
    <w:rsid w:val="594F1EAF"/>
    <w:rsid w:val="59505088"/>
    <w:rsid w:val="599E34C1"/>
    <w:rsid w:val="59AE3BC4"/>
    <w:rsid w:val="59C87854"/>
    <w:rsid w:val="59FB0767"/>
    <w:rsid w:val="5A001F32"/>
    <w:rsid w:val="5A00764E"/>
    <w:rsid w:val="5A2055FA"/>
    <w:rsid w:val="5A355549"/>
    <w:rsid w:val="5A4237C2"/>
    <w:rsid w:val="5A61633E"/>
    <w:rsid w:val="5AAE70AA"/>
    <w:rsid w:val="5AC03E2B"/>
    <w:rsid w:val="5AC44CFF"/>
    <w:rsid w:val="5ADF4EE2"/>
    <w:rsid w:val="5AE3311B"/>
    <w:rsid w:val="5AEE5848"/>
    <w:rsid w:val="5AFA6F68"/>
    <w:rsid w:val="5B0867BA"/>
    <w:rsid w:val="5B2311C4"/>
    <w:rsid w:val="5B743E4F"/>
    <w:rsid w:val="5BB478E2"/>
    <w:rsid w:val="5BDB3E20"/>
    <w:rsid w:val="5BED5CCC"/>
    <w:rsid w:val="5BFF6736"/>
    <w:rsid w:val="5C1D6295"/>
    <w:rsid w:val="5C390BF5"/>
    <w:rsid w:val="5C4F21C6"/>
    <w:rsid w:val="5C700ABB"/>
    <w:rsid w:val="5C757E7F"/>
    <w:rsid w:val="5C7A5495"/>
    <w:rsid w:val="5C8502BD"/>
    <w:rsid w:val="5C981DBF"/>
    <w:rsid w:val="5CC53F10"/>
    <w:rsid w:val="5CD1048C"/>
    <w:rsid w:val="5D017965"/>
    <w:rsid w:val="5D072AA1"/>
    <w:rsid w:val="5D8070B7"/>
    <w:rsid w:val="5D8C3891"/>
    <w:rsid w:val="5D931FA8"/>
    <w:rsid w:val="5D9A56C3"/>
    <w:rsid w:val="5D9E3405"/>
    <w:rsid w:val="5DAD53F7"/>
    <w:rsid w:val="5DC0337C"/>
    <w:rsid w:val="5DDB6408"/>
    <w:rsid w:val="5DF8730D"/>
    <w:rsid w:val="5E0F50CD"/>
    <w:rsid w:val="5E263CC0"/>
    <w:rsid w:val="5E280F21"/>
    <w:rsid w:val="5E3478C6"/>
    <w:rsid w:val="5E4073B6"/>
    <w:rsid w:val="5E420235"/>
    <w:rsid w:val="5E437B09"/>
    <w:rsid w:val="5E710B1A"/>
    <w:rsid w:val="5E7E5A19"/>
    <w:rsid w:val="5E9D190F"/>
    <w:rsid w:val="5EFE5F4F"/>
    <w:rsid w:val="5F04373C"/>
    <w:rsid w:val="5F0D19F5"/>
    <w:rsid w:val="5F1F0576"/>
    <w:rsid w:val="5F593A88"/>
    <w:rsid w:val="5F6146EB"/>
    <w:rsid w:val="5F681F1D"/>
    <w:rsid w:val="5F751F44"/>
    <w:rsid w:val="5F7563E8"/>
    <w:rsid w:val="5F8B5C0B"/>
    <w:rsid w:val="5F9523E0"/>
    <w:rsid w:val="5FBC0AC3"/>
    <w:rsid w:val="5FC37153"/>
    <w:rsid w:val="5FDA1ED0"/>
    <w:rsid w:val="5FE5356E"/>
    <w:rsid w:val="5FF3605E"/>
    <w:rsid w:val="601C4AB5"/>
    <w:rsid w:val="602C1292"/>
    <w:rsid w:val="60672465"/>
    <w:rsid w:val="60C90799"/>
    <w:rsid w:val="60ED4071"/>
    <w:rsid w:val="60EE1DDC"/>
    <w:rsid w:val="60FB291D"/>
    <w:rsid w:val="60FE5343"/>
    <w:rsid w:val="61BC02FE"/>
    <w:rsid w:val="61C84EF5"/>
    <w:rsid w:val="61E3588B"/>
    <w:rsid w:val="62056E47"/>
    <w:rsid w:val="62193E33"/>
    <w:rsid w:val="62522600"/>
    <w:rsid w:val="62540537"/>
    <w:rsid w:val="6255451F"/>
    <w:rsid w:val="628363FE"/>
    <w:rsid w:val="62914B8A"/>
    <w:rsid w:val="62AB7DAA"/>
    <w:rsid w:val="62E45421"/>
    <w:rsid w:val="631C1FCC"/>
    <w:rsid w:val="632C3261"/>
    <w:rsid w:val="633A597E"/>
    <w:rsid w:val="635976C3"/>
    <w:rsid w:val="636447A9"/>
    <w:rsid w:val="636B5B38"/>
    <w:rsid w:val="63880797"/>
    <w:rsid w:val="63911317"/>
    <w:rsid w:val="63921C6D"/>
    <w:rsid w:val="63C139AA"/>
    <w:rsid w:val="63CC234F"/>
    <w:rsid w:val="63D10A01"/>
    <w:rsid w:val="63D77671"/>
    <w:rsid w:val="63D80CF3"/>
    <w:rsid w:val="63DC6A36"/>
    <w:rsid w:val="64FC7522"/>
    <w:rsid w:val="6506460A"/>
    <w:rsid w:val="650A75D2"/>
    <w:rsid w:val="650E70C3"/>
    <w:rsid w:val="652A244F"/>
    <w:rsid w:val="656051C5"/>
    <w:rsid w:val="65685EB4"/>
    <w:rsid w:val="65B000C2"/>
    <w:rsid w:val="65B17A4E"/>
    <w:rsid w:val="65D02E0D"/>
    <w:rsid w:val="65D676FC"/>
    <w:rsid w:val="65FD0792"/>
    <w:rsid w:val="6605159B"/>
    <w:rsid w:val="662345DE"/>
    <w:rsid w:val="662E109F"/>
    <w:rsid w:val="66656315"/>
    <w:rsid w:val="66D711BA"/>
    <w:rsid w:val="66D954AE"/>
    <w:rsid w:val="66F602DE"/>
    <w:rsid w:val="66FE4F15"/>
    <w:rsid w:val="670047E9"/>
    <w:rsid w:val="67427713"/>
    <w:rsid w:val="674943E2"/>
    <w:rsid w:val="674F5770"/>
    <w:rsid w:val="67617776"/>
    <w:rsid w:val="677E25E3"/>
    <w:rsid w:val="67964A03"/>
    <w:rsid w:val="67D0240D"/>
    <w:rsid w:val="67DA7730"/>
    <w:rsid w:val="67E91E66"/>
    <w:rsid w:val="6837248C"/>
    <w:rsid w:val="68372ADA"/>
    <w:rsid w:val="685E4EE9"/>
    <w:rsid w:val="68EF720B"/>
    <w:rsid w:val="69053AC7"/>
    <w:rsid w:val="69281C54"/>
    <w:rsid w:val="692D181F"/>
    <w:rsid w:val="692E36B1"/>
    <w:rsid w:val="69594684"/>
    <w:rsid w:val="696543A2"/>
    <w:rsid w:val="69833DCE"/>
    <w:rsid w:val="69A51678"/>
    <w:rsid w:val="69B144C0"/>
    <w:rsid w:val="69BB70ED"/>
    <w:rsid w:val="69BD10B7"/>
    <w:rsid w:val="69F60125"/>
    <w:rsid w:val="6A254F5A"/>
    <w:rsid w:val="6A3A44B6"/>
    <w:rsid w:val="6A4315BC"/>
    <w:rsid w:val="6A446B8F"/>
    <w:rsid w:val="6A9C35D0"/>
    <w:rsid w:val="6AA07179"/>
    <w:rsid w:val="6AA81E55"/>
    <w:rsid w:val="6AA87773"/>
    <w:rsid w:val="6AD42215"/>
    <w:rsid w:val="6AD55AD7"/>
    <w:rsid w:val="6AF428B7"/>
    <w:rsid w:val="6AF705F9"/>
    <w:rsid w:val="6AFF300A"/>
    <w:rsid w:val="6B013226"/>
    <w:rsid w:val="6B2C2051"/>
    <w:rsid w:val="6B2E2D76"/>
    <w:rsid w:val="6B436332"/>
    <w:rsid w:val="6B563571"/>
    <w:rsid w:val="6B741C4A"/>
    <w:rsid w:val="6B79100E"/>
    <w:rsid w:val="6B9E0EE4"/>
    <w:rsid w:val="6BC70124"/>
    <w:rsid w:val="6BF16DF6"/>
    <w:rsid w:val="6C020F9E"/>
    <w:rsid w:val="6C2A3787"/>
    <w:rsid w:val="6C5121A7"/>
    <w:rsid w:val="6C79754B"/>
    <w:rsid w:val="6C971DC2"/>
    <w:rsid w:val="6CAF46C4"/>
    <w:rsid w:val="6CED3A62"/>
    <w:rsid w:val="6D0D1A0E"/>
    <w:rsid w:val="6D0F764E"/>
    <w:rsid w:val="6D203E37"/>
    <w:rsid w:val="6D3D19E2"/>
    <w:rsid w:val="6D49660F"/>
    <w:rsid w:val="6D55627F"/>
    <w:rsid w:val="6D6F26DF"/>
    <w:rsid w:val="6D7B106D"/>
    <w:rsid w:val="6D884934"/>
    <w:rsid w:val="6D963D7A"/>
    <w:rsid w:val="6D9D5A27"/>
    <w:rsid w:val="6DBE0F5A"/>
    <w:rsid w:val="6DFC3E61"/>
    <w:rsid w:val="6E0E5854"/>
    <w:rsid w:val="6E245DBF"/>
    <w:rsid w:val="6E331948"/>
    <w:rsid w:val="6E344C48"/>
    <w:rsid w:val="6E352F58"/>
    <w:rsid w:val="6E4138A2"/>
    <w:rsid w:val="6E4D1FA8"/>
    <w:rsid w:val="6E602011"/>
    <w:rsid w:val="6E6C6C08"/>
    <w:rsid w:val="6E8E4DD0"/>
    <w:rsid w:val="6EB5235D"/>
    <w:rsid w:val="6ED650C2"/>
    <w:rsid w:val="6F335BAA"/>
    <w:rsid w:val="6F377216"/>
    <w:rsid w:val="6F717C57"/>
    <w:rsid w:val="6F8561D3"/>
    <w:rsid w:val="700E61C9"/>
    <w:rsid w:val="701B00A9"/>
    <w:rsid w:val="701F2AD3"/>
    <w:rsid w:val="70313C65"/>
    <w:rsid w:val="703B2D36"/>
    <w:rsid w:val="70476DFE"/>
    <w:rsid w:val="704E0CBB"/>
    <w:rsid w:val="705D4A5A"/>
    <w:rsid w:val="706A7177"/>
    <w:rsid w:val="70910BA8"/>
    <w:rsid w:val="71152AE8"/>
    <w:rsid w:val="713339AD"/>
    <w:rsid w:val="71957A02"/>
    <w:rsid w:val="719F7978"/>
    <w:rsid w:val="71CD79BE"/>
    <w:rsid w:val="71D76A8E"/>
    <w:rsid w:val="71DB20DB"/>
    <w:rsid w:val="71F23BDF"/>
    <w:rsid w:val="72111FA0"/>
    <w:rsid w:val="72995877"/>
    <w:rsid w:val="729A0172"/>
    <w:rsid w:val="72CD2E2D"/>
    <w:rsid w:val="73223F61"/>
    <w:rsid w:val="732E2560"/>
    <w:rsid w:val="7348106F"/>
    <w:rsid w:val="73691968"/>
    <w:rsid w:val="73C1083E"/>
    <w:rsid w:val="742B746E"/>
    <w:rsid w:val="745148D6"/>
    <w:rsid w:val="745903A3"/>
    <w:rsid w:val="74593709"/>
    <w:rsid w:val="74607793"/>
    <w:rsid w:val="74632482"/>
    <w:rsid w:val="747D56CB"/>
    <w:rsid w:val="74BD166D"/>
    <w:rsid w:val="74D04F8A"/>
    <w:rsid w:val="74E5057F"/>
    <w:rsid w:val="74F02E01"/>
    <w:rsid w:val="7507768A"/>
    <w:rsid w:val="753E1321"/>
    <w:rsid w:val="753F5076"/>
    <w:rsid w:val="75534524"/>
    <w:rsid w:val="7577036C"/>
    <w:rsid w:val="75D90F57"/>
    <w:rsid w:val="75E83018"/>
    <w:rsid w:val="76277FE4"/>
    <w:rsid w:val="764B0603"/>
    <w:rsid w:val="766A6123"/>
    <w:rsid w:val="767945B8"/>
    <w:rsid w:val="76796366"/>
    <w:rsid w:val="767B3EE5"/>
    <w:rsid w:val="769211D6"/>
    <w:rsid w:val="76AA1D10"/>
    <w:rsid w:val="76D67314"/>
    <w:rsid w:val="772E0EFE"/>
    <w:rsid w:val="77876861"/>
    <w:rsid w:val="77894387"/>
    <w:rsid w:val="77BF424C"/>
    <w:rsid w:val="77F62345"/>
    <w:rsid w:val="77F7266A"/>
    <w:rsid w:val="7826607A"/>
    <w:rsid w:val="784C3D32"/>
    <w:rsid w:val="787D2C73"/>
    <w:rsid w:val="78955947"/>
    <w:rsid w:val="78E977D3"/>
    <w:rsid w:val="790110D3"/>
    <w:rsid w:val="79132AA2"/>
    <w:rsid w:val="79243D01"/>
    <w:rsid w:val="792F0F5E"/>
    <w:rsid w:val="79382508"/>
    <w:rsid w:val="794D6E35"/>
    <w:rsid w:val="79501600"/>
    <w:rsid w:val="79504562"/>
    <w:rsid w:val="79667F09"/>
    <w:rsid w:val="797A68E0"/>
    <w:rsid w:val="7988015E"/>
    <w:rsid w:val="79911CD9"/>
    <w:rsid w:val="79B0209F"/>
    <w:rsid w:val="79B16E66"/>
    <w:rsid w:val="79C142AC"/>
    <w:rsid w:val="79C33A04"/>
    <w:rsid w:val="79C36276"/>
    <w:rsid w:val="79F24465"/>
    <w:rsid w:val="7A28432B"/>
    <w:rsid w:val="7A374574"/>
    <w:rsid w:val="7A462A03"/>
    <w:rsid w:val="7A603AC5"/>
    <w:rsid w:val="7A7C6425"/>
    <w:rsid w:val="7A8D418E"/>
    <w:rsid w:val="7A9B4AFD"/>
    <w:rsid w:val="7AD81A14"/>
    <w:rsid w:val="7AE364A4"/>
    <w:rsid w:val="7AF574CB"/>
    <w:rsid w:val="7AF67F85"/>
    <w:rsid w:val="7B3867F0"/>
    <w:rsid w:val="7B3B184D"/>
    <w:rsid w:val="7B5A6766"/>
    <w:rsid w:val="7B616DBA"/>
    <w:rsid w:val="7B83730E"/>
    <w:rsid w:val="7B9B28DB"/>
    <w:rsid w:val="7BA00179"/>
    <w:rsid w:val="7BBA0FB3"/>
    <w:rsid w:val="7BCA7521"/>
    <w:rsid w:val="7BE6624C"/>
    <w:rsid w:val="7BF24439"/>
    <w:rsid w:val="7C001AA6"/>
    <w:rsid w:val="7C38637B"/>
    <w:rsid w:val="7C422497"/>
    <w:rsid w:val="7C5331B5"/>
    <w:rsid w:val="7C6151AF"/>
    <w:rsid w:val="7C675369"/>
    <w:rsid w:val="7C6D071B"/>
    <w:rsid w:val="7CBE0F77"/>
    <w:rsid w:val="7CCA5FE8"/>
    <w:rsid w:val="7CE04A49"/>
    <w:rsid w:val="7CFD384D"/>
    <w:rsid w:val="7CFF1016"/>
    <w:rsid w:val="7D1D3EEF"/>
    <w:rsid w:val="7D1E155C"/>
    <w:rsid w:val="7D667BB3"/>
    <w:rsid w:val="7D6A6A08"/>
    <w:rsid w:val="7D781125"/>
    <w:rsid w:val="7D81120F"/>
    <w:rsid w:val="7D937730"/>
    <w:rsid w:val="7DCC321F"/>
    <w:rsid w:val="7DD30A52"/>
    <w:rsid w:val="7DDB3095"/>
    <w:rsid w:val="7E3A63DB"/>
    <w:rsid w:val="7EAC6896"/>
    <w:rsid w:val="7EAF5A5F"/>
    <w:rsid w:val="7EB23BCF"/>
    <w:rsid w:val="7ED941E0"/>
    <w:rsid w:val="7EE7676E"/>
    <w:rsid w:val="7EED169F"/>
    <w:rsid w:val="7EFC5D86"/>
    <w:rsid w:val="7F0A046A"/>
    <w:rsid w:val="7F17496E"/>
    <w:rsid w:val="7F1E7AAB"/>
    <w:rsid w:val="7F271055"/>
    <w:rsid w:val="7F6A0F42"/>
    <w:rsid w:val="7F89546E"/>
    <w:rsid w:val="7F955AC2"/>
    <w:rsid w:val="7F9B10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0" w:firstLineChars="200"/>
      <w:jc w:val="both"/>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9"/>
    <w:pPr>
      <w:keepNext/>
      <w:keepLines/>
      <w:spacing w:before="240" w:after="240"/>
      <w:ind w:firstLine="643"/>
      <w:jc w:val="center"/>
      <w:outlineLvl w:val="0"/>
    </w:pPr>
    <w:rPr>
      <w:rFonts w:ascii="Times New Roman" w:hAnsi="Times New Roman" w:eastAsia="方正小标宋_GBK" w:cs="Times New Roman"/>
      <w:b/>
      <w:bCs/>
      <w:color w:val="auto"/>
      <w:sz w:val="44"/>
      <w:szCs w:val="32"/>
    </w:rPr>
  </w:style>
  <w:style w:type="paragraph" w:styleId="3">
    <w:name w:val="heading 2"/>
    <w:basedOn w:val="1"/>
    <w:next w:val="1"/>
    <w:unhideWhenUsed/>
    <w:qFormat/>
    <w:uiPriority w:val="9"/>
    <w:pPr>
      <w:keepNext/>
      <w:keepLines/>
      <w:spacing w:before="160" w:after="80"/>
      <w:jc w:val="center"/>
      <w:outlineLvl w:val="1"/>
    </w:pPr>
    <w:rPr>
      <w:rFonts w:ascii="Times New Roman" w:hAnsi="Times New Roman" w:eastAsia="楷体_GB2312" w:cs="Times New Roman"/>
      <w:b/>
      <w:color w:val="000000" w:themeColor="text1"/>
      <w:szCs w:val="40"/>
    </w:rPr>
  </w:style>
  <w:style w:type="paragraph" w:styleId="4">
    <w:name w:val="heading 3"/>
    <w:basedOn w:val="1"/>
    <w:next w:val="1"/>
    <w:unhideWhenUsed/>
    <w:qFormat/>
    <w:uiPriority w:val="0"/>
    <w:pPr>
      <w:keepNext/>
      <w:keepLines/>
      <w:tabs>
        <w:tab w:val="left" w:pos="426"/>
      </w:tabs>
      <w:spacing w:line="360" w:lineRule="auto"/>
      <w:ind w:left="0" w:firstLine="720" w:firstLineChars="200"/>
      <w:jc w:val="left"/>
      <w:outlineLvl w:val="2"/>
    </w:pPr>
    <w:rPr>
      <w:b/>
    </w:rPr>
  </w:style>
  <w:style w:type="paragraph" w:styleId="5">
    <w:name w:val="heading 4"/>
    <w:basedOn w:val="1"/>
    <w:next w:val="1"/>
    <w:unhideWhenUsed/>
    <w:qFormat/>
    <w:uiPriority w:val="0"/>
    <w:pPr>
      <w:keepNext/>
      <w:keepLines/>
      <w:spacing w:beforeLines="0" w:beforeAutospacing="0" w:afterLines="0" w:afterAutospacing="0" w:line="360" w:lineRule="auto"/>
      <w:ind w:firstLine="720" w:firstLineChars="200"/>
      <w:outlineLvl w:val="3"/>
    </w:pPr>
    <w:rPr>
      <w:rFonts w:ascii="Arial" w:hAnsi="Arial" w:eastAsia="仿宋"/>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37"/>
    <w:qFormat/>
    <w:uiPriority w:val="0"/>
    <w:rPr>
      <w:rFonts w:ascii="宋体" w:eastAsia="宋体"/>
      <w:sz w:val="18"/>
      <w:szCs w:val="18"/>
    </w:rPr>
  </w:style>
  <w:style w:type="paragraph" w:styleId="7">
    <w:name w:val="annotation text"/>
    <w:basedOn w:val="1"/>
    <w:qFormat/>
    <w:uiPriority w:val="0"/>
    <w:pPr>
      <w:jc w:val="left"/>
    </w:pPr>
  </w:style>
  <w:style w:type="paragraph" w:styleId="8">
    <w:name w:val="Body Text"/>
    <w:basedOn w:val="1"/>
    <w:qFormat/>
    <w:uiPriority w:val="99"/>
  </w:style>
  <w:style w:type="paragraph" w:styleId="9">
    <w:name w:val="toc 3"/>
    <w:basedOn w:val="1"/>
    <w:next w:val="1"/>
    <w:qFormat/>
    <w:uiPriority w:val="0"/>
    <w:pPr>
      <w:ind w:left="840" w:leftChars="400"/>
    </w:pPr>
  </w:style>
  <w:style w:type="paragraph" w:styleId="10">
    <w:name w:val="Balloon Text"/>
    <w:basedOn w:val="1"/>
    <w:link w:val="38"/>
    <w:qFormat/>
    <w:uiPriority w:val="0"/>
    <w:rPr>
      <w:sz w:val="18"/>
      <w:szCs w:val="18"/>
    </w:rPr>
  </w:style>
  <w:style w:type="paragraph" w:styleId="11">
    <w:name w:val="footer"/>
    <w:basedOn w:val="1"/>
    <w:next w:val="1"/>
    <w:link w:val="36"/>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Subtitle"/>
    <w:basedOn w:val="1"/>
    <w:next w:val="1"/>
    <w:qFormat/>
    <w:uiPriority w:val="11"/>
    <w:pPr>
      <w:spacing w:before="240" w:after="60" w:line="312" w:lineRule="auto"/>
      <w:jc w:val="center"/>
      <w:outlineLvl w:val="1"/>
    </w:pPr>
    <w:rPr>
      <w:rFonts w:ascii="等线 Light" w:hAnsi="等线 Light" w:cs="Times New Roman"/>
      <w:b/>
      <w:bCs/>
      <w:kern w:val="28"/>
      <w:sz w:val="32"/>
      <w:szCs w:val="32"/>
    </w:rPr>
  </w:style>
  <w:style w:type="paragraph" w:styleId="15">
    <w:name w:val="footnote text"/>
    <w:basedOn w:val="1"/>
    <w:qFormat/>
    <w:uiPriority w:val="0"/>
    <w:pPr>
      <w:snapToGrid w:val="0"/>
      <w:jc w:val="left"/>
    </w:pPr>
    <w:rPr>
      <w:sz w:val="18"/>
    </w:rPr>
  </w:style>
  <w:style w:type="paragraph" w:styleId="16">
    <w:name w:val="toc 2"/>
    <w:basedOn w:val="1"/>
    <w:next w:val="1"/>
    <w:qFormat/>
    <w:uiPriority w:val="0"/>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09" w:after="209" w:line="0" w:lineRule="atLeast"/>
      <w:jc w:val="center"/>
    </w:pPr>
    <w:rPr>
      <w:rFonts w:ascii="Arial" w:hAnsi="Arial" w:eastAsia="黑体"/>
      <w:sz w:val="52"/>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annotation reference"/>
    <w:basedOn w:val="21"/>
    <w:qFormat/>
    <w:uiPriority w:val="0"/>
    <w:rPr>
      <w:sz w:val="21"/>
      <w:szCs w:val="21"/>
    </w:rPr>
  </w:style>
  <w:style w:type="character" w:styleId="23">
    <w:name w:val="footnote reference"/>
    <w:basedOn w:val="21"/>
    <w:qFormat/>
    <w:uiPriority w:val="0"/>
    <w:rPr>
      <w:vertAlign w:val="superscript"/>
    </w:rPr>
  </w:style>
  <w:style w:type="paragraph" w:customStyle="1" w:styleId="24">
    <w:name w:val="Default"/>
    <w:basedOn w:val="1"/>
    <w:next w:val="25"/>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default" w:ascii="Calibri" w:hAnsi="Calibri" w:eastAsia="宋体" w:cs="Calibri"/>
      <w:color w:val="000000"/>
      <w:kern w:val="0"/>
      <w:sz w:val="24"/>
      <w:szCs w:val="24"/>
      <w:lang w:val="en-US" w:eastAsia="zh-CN" w:bidi="ar"/>
    </w:rPr>
  </w:style>
  <w:style w:type="paragraph" w:customStyle="1" w:styleId="25">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character" w:customStyle="1" w:styleId="26">
    <w:name w:val="font12"/>
    <w:basedOn w:val="21"/>
    <w:qFormat/>
    <w:uiPriority w:val="0"/>
    <w:rPr>
      <w:rFonts w:hint="default" w:ascii="Times New Roman" w:hAnsi="Times New Roman" w:cs="Times New Roman"/>
      <w:color w:val="000000"/>
      <w:sz w:val="24"/>
      <w:szCs w:val="24"/>
      <w:u w:val="none"/>
    </w:rPr>
  </w:style>
  <w:style w:type="character" w:customStyle="1" w:styleId="27">
    <w:name w:val="font21"/>
    <w:basedOn w:val="21"/>
    <w:qFormat/>
    <w:uiPriority w:val="0"/>
    <w:rPr>
      <w:rFonts w:hint="eastAsia" w:ascii="宋体" w:hAnsi="宋体" w:eastAsia="宋体" w:cs="宋体"/>
      <w:color w:val="000000"/>
      <w:sz w:val="24"/>
      <w:szCs w:val="24"/>
      <w:u w:val="none"/>
    </w:rPr>
  </w:style>
  <w:style w:type="character" w:customStyle="1" w:styleId="28">
    <w:name w:val="font101"/>
    <w:basedOn w:val="21"/>
    <w:qFormat/>
    <w:uiPriority w:val="0"/>
    <w:rPr>
      <w:rFonts w:hint="default" w:ascii="Times New Roman" w:hAnsi="Times New Roman" w:cs="Times New Roman"/>
      <w:b/>
      <w:bCs/>
      <w:color w:val="FF0000"/>
      <w:sz w:val="24"/>
      <w:szCs w:val="24"/>
      <w:u w:val="none"/>
    </w:rPr>
  </w:style>
  <w:style w:type="character" w:customStyle="1" w:styleId="29">
    <w:name w:val="font111"/>
    <w:basedOn w:val="21"/>
    <w:qFormat/>
    <w:uiPriority w:val="0"/>
    <w:rPr>
      <w:rFonts w:hint="eastAsia" w:ascii="宋体" w:hAnsi="宋体" w:eastAsia="宋体" w:cs="宋体"/>
      <w:b/>
      <w:bCs/>
      <w:color w:val="FF0000"/>
      <w:sz w:val="24"/>
      <w:szCs w:val="24"/>
      <w:u w:val="none"/>
    </w:rPr>
  </w:style>
  <w:style w:type="character" w:customStyle="1" w:styleId="30">
    <w:name w:val="font281"/>
    <w:basedOn w:val="21"/>
    <w:qFormat/>
    <w:uiPriority w:val="0"/>
    <w:rPr>
      <w:rFonts w:hint="eastAsia" w:ascii="宋体" w:hAnsi="宋体" w:eastAsia="宋体" w:cs="宋体"/>
      <w:b/>
      <w:bCs/>
      <w:color w:val="000000"/>
      <w:sz w:val="24"/>
      <w:szCs w:val="24"/>
      <w:u w:val="none"/>
    </w:rPr>
  </w:style>
  <w:style w:type="table" w:customStyle="1" w:styleId="31">
    <w:name w:val="Table Normal"/>
    <w:unhideWhenUsed/>
    <w:qFormat/>
    <w:uiPriority w:val="0"/>
    <w:tblPr>
      <w:tblCellMar>
        <w:top w:w="0" w:type="dxa"/>
        <w:left w:w="0" w:type="dxa"/>
        <w:bottom w:w="0" w:type="dxa"/>
        <w:right w:w="0" w:type="dxa"/>
      </w:tblCellMar>
    </w:tblPr>
  </w:style>
  <w:style w:type="character" w:customStyle="1" w:styleId="32">
    <w:name w:val="font41"/>
    <w:basedOn w:val="21"/>
    <w:qFormat/>
    <w:uiPriority w:val="0"/>
    <w:rPr>
      <w:rFonts w:hint="eastAsia" w:ascii="仿宋_GB2312" w:eastAsia="仿宋_GB2312" w:cs="仿宋_GB2312"/>
      <w:b/>
      <w:bCs/>
      <w:color w:val="000000"/>
      <w:sz w:val="21"/>
      <w:szCs w:val="21"/>
      <w:u w:val="none"/>
    </w:rPr>
  </w:style>
  <w:style w:type="character" w:customStyle="1" w:styleId="33">
    <w:name w:val="font31"/>
    <w:basedOn w:val="21"/>
    <w:qFormat/>
    <w:uiPriority w:val="0"/>
    <w:rPr>
      <w:rFonts w:hint="eastAsia" w:ascii="仿宋" w:hAnsi="仿宋" w:eastAsia="仿宋" w:cs="仿宋"/>
      <w:b/>
      <w:bCs/>
      <w:color w:val="000000"/>
      <w:sz w:val="22"/>
      <w:szCs w:val="22"/>
      <w:u w:val="none"/>
    </w:rPr>
  </w:style>
  <w:style w:type="character" w:customStyle="1" w:styleId="34">
    <w:name w:val="font51"/>
    <w:basedOn w:val="21"/>
    <w:qFormat/>
    <w:uiPriority w:val="0"/>
    <w:rPr>
      <w:rFonts w:hint="eastAsia" w:ascii="仿宋" w:hAnsi="仿宋" w:eastAsia="仿宋" w:cs="仿宋"/>
      <w:color w:val="000000"/>
      <w:sz w:val="22"/>
      <w:szCs w:val="22"/>
      <w:u w:val="none"/>
    </w:rPr>
  </w:style>
  <w:style w:type="paragraph" w:customStyle="1" w:styleId="35">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6">
    <w:name w:val="页脚 Char"/>
    <w:basedOn w:val="21"/>
    <w:link w:val="11"/>
    <w:qFormat/>
    <w:uiPriority w:val="0"/>
    <w:rPr>
      <w:rFonts w:asciiTheme="minorHAnsi" w:hAnsiTheme="minorHAnsi" w:eastAsiaTheme="minorEastAsia" w:cstheme="minorBidi"/>
      <w:kern w:val="2"/>
      <w:sz w:val="18"/>
      <w:szCs w:val="24"/>
    </w:rPr>
  </w:style>
  <w:style w:type="character" w:customStyle="1" w:styleId="37">
    <w:name w:val="文档结构图 Char"/>
    <w:basedOn w:val="21"/>
    <w:link w:val="6"/>
    <w:qFormat/>
    <w:uiPriority w:val="0"/>
    <w:rPr>
      <w:rFonts w:ascii="宋体" w:hAnsiTheme="minorHAnsi" w:cstheme="minorBidi"/>
      <w:kern w:val="2"/>
      <w:sz w:val="18"/>
      <w:szCs w:val="18"/>
    </w:rPr>
  </w:style>
  <w:style w:type="character" w:customStyle="1" w:styleId="38">
    <w:name w:val="批注框文本 Char"/>
    <w:basedOn w:val="21"/>
    <w:link w:val="10"/>
    <w:qFormat/>
    <w:uiPriority w:val="0"/>
    <w:rPr>
      <w:rFonts w:asciiTheme="minorHAnsi" w:hAnsiTheme="minorHAnsi" w:eastAsiaTheme="minorEastAsia" w:cstheme="minorBidi"/>
      <w:kern w:val="2"/>
      <w:sz w:val="18"/>
      <w:szCs w:val="18"/>
    </w:rPr>
  </w:style>
  <w:style w:type="character" w:customStyle="1" w:styleId="39">
    <w:name w:val="16"/>
    <w:qFormat/>
    <w:uiPriority w:val="0"/>
    <w:rPr>
      <w:rFonts w:hint="eastAsia" w:ascii="方正小标宋简体" w:hAnsi="方正小标宋简体" w:eastAsia="方正小标宋简体"/>
    </w:rPr>
  </w:style>
  <w:style w:type="paragraph" w:customStyle="1" w:styleId="40">
    <w:name w:val="1级标题"/>
    <w:next w:val="1"/>
    <w:qFormat/>
    <w:uiPriority w:val="0"/>
    <w:pPr>
      <w:spacing w:before="480" w:after="120"/>
      <w:outlineLvl w:val="0"/>
    </w:pPr>
    <w:rPr>
      <w:rFonts w:ascii="黑体" w:hAnsi="Times New Roman" w:eastAsia="黑体" w:cstheme="minorBidi"/>
      <w:bCs/>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9"/>
    <customShpInfo spid="_x0000_s4112" textRotate="1"/>
    <customShpInfo spid="_x0000_s4105"/>
    <customShpInfo spid="_x0000_s4103"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16390</Words>
  <Characters>16768</Characters>
  <Lines>142</Lines>
  <Paragraphs>40</Paragraphs>
  <TotalTime>1</TotalTime>
  <ScaleCrop>false</ScaleCrop>
  <LinksUpToDate>false</LinksUpToDate>
  <CharactersWithSpaces>16843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2024-12-30T01:18:00Z</dcterms:created>
  <dc:creator>静待花开</dc:creator>
  <cp:lastModifiedBy>西门元子。</cp:lastModifiedBy>
  <cp:lastPrinted>2025-10-30T08:11:00Z</cp:lastPrinted>
  <dcterms:modified xsi:type="dcterms:W3CDTF">2025-11-03T10:05:28Z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99C7BD587FE74C8F9B715BDE3255A02E</vt:lpwstr>
  </property>
  <property fmtid="{D5CDD505-2E9C-101B-9397-08002B2CF9AE}" pid="4" name="KSOTemplateDocerSaveRecord">
    <vt:lpwstr>eyJoZGlkIjoiMTQzMzk5M2RhZjI3N2M1ZjBiY2E3Nzk3OGM5ZmYyNjgiLCJ1c2VySWQiOiI1Mjk3OTU0OTMifQ==</vt:lpwstr>
  </property>
</Properties>
</file>