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Times New Roman" w:hAnsi="Times New Roman" w:eastAsia="方正小标宋_GBK"/>
          <w:kern w:val="0"/>
          <w:sz w:val="44"/>
          <w:szCs w:val="44"/>
        </w:rPr>
      </w:pPr>
    </w:p>
    <w:p>
      <w:pPr>
        <w:widowControl/>
        <w:spacing w:line="64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荔浦</w:t>
      </w:r>
      <w:r>
        <w:rPr>
          <w:rFonts w:ascii="Times New Roman" w:hAnsi="Times New Roman" w:eastAsia="方正小标宋_GBK"/>
          <w:b/>
          <w:kern w:val="0"/>
          <w:sz w:val="44"/>
          <w:szCs w:val="44"/>
        </w:rPr>
        <w:t>市</w:t>
      </w:r>
      <w:r>
        <w:rPr>
          <w:rFonts w:ascii="Times New Roman" w:hAnsi="Times New Roman" w:eastAsia="方正小标宋_GBK"/>
          <w:kern w:val="0"/>
          <w:sz w:val="44"/>
          <w:szCs w:val="44"/>
        </w:rPr>
        <w:t>第四次全国经济普查公报（第五号）</w:t>
      </w:r>
    </w:p>
    <w:p>
      <w:pPr>
        <w:widowControl/>
        <w:spacing w:line="640" w:lineRule="exact"/>
        <w:jc w:val="center"/>
        <w:rPr>
          <w:rFonts w:ascii="Times New Roman" w:hAnsi="Times New Roman" w:eastAsia="楷体_GB2312"/>
          <w:kern w:val="0"/>
          <w:sz w:val="32"/>
          <w:szCs w:val="32"/>
        </w:rPr>
      </w:pPr>
      <w:r>
        <w:rPr>
          <w:rFonts w:ascii="Times New Roman" w:hAnsi="Times New Roman" w:eastAsia="楷体_GB2312"/>
          <w:kern w:val="0"/>
          <w:sz w:val="32"/>
          <w:szCs w:val="32"/>
        </w:rPr>
        <w:t xml:space="preserve">   </w:t>
      </w:r>
      <w:r>
        <w:rPr>
          <w:rFonts w:ascii="Times New Roman" w:hAnsi="Times New Roman"/>
          <w:kern w:val="0"/>
          <w:sz w:val="32"/>
          <w:szCs w:val="32"/>
        </w:rPr>
        <w:t xml:space="preserve"> ——</w:t>
      </w:r>
      <w:r>
        <w:rPr>
          <w:rFonts w:ascii="Times New Roman" w:hAnsi="Times New Roman" w:eastAsia="楷体_GB2312"/>
          <w:kern w:val="0"/>
          <w:sz w:val="32"/>
          <w:szCs w:val="32"/>
        </w:rPr>
        <w:t>第三产业基本情况之二</w:t>
      </w:r>
    </w:p>
    <w:p>
      <w:pPr>
        <w:spacing w:line="586" w:lineRule="exact"/>
        <w:jc w:val="center"/>
        <w:rPr>
          <w:rFonts w:ascii="Times New Roman" w:hAnsi="Times New Roman" w:eastAsia="楷体_GB2312"/>
          <w:kern w:val="0"/>
          <w:sz w:val="32"/>
          <w:szCs w:val="32"/>
        </w:rPr>
      </w:pPr>
      <w:r>
        <w:rPr>
          <w:rFonts w:ascii="Times New Roman" w:hAnsi="Times New Roman" w:eastAsia="楷体_GB2312"/>
          <w:kern w:val="0"/>
          <w:sz w:val="32"/>
          <w:szCs w:val="32"/>
        </w:rPr>
        <w:t xml:space="preserve"> </w:t>
      </w:r>
    </w:p>
    <w:p>
      <w:pPr>
        <w:spacing w:line="586" w:lineRule="exact"/>
        <w:jc w:val="center"/>
        <w:rPr>
          <w:rFonts w:ascii="Times New Roman" w:hAnsi="Times New Roman" w:eastAsia="楷体_GB2312"/>
          <w:kern w:val="0"/>
          <w:sz w:val="32"/>
          <w:szCs w:val="32"/>
        </w:rPr>
      </w:pPr>
      <w:r>
        <w:rPr>
          <w:rFonts w:hint="eastAsia" w:ascii="Times New Roman" w:hAnsi="Times New Roman" w:eastAsia="楷体_GB2312"/>
          <w:kern w:val="0"/>
          <w:sz w:val="32"/>
          <w:szCs w:val="32"/>
        </w:rPr>
        <w:t>荔浦</w:t>
      </w:r>
      <w:r>
        <w:rPr>
          <w:rFonts w:ascii="Times New Roman" w:hAnsi="Times New Roman" w:eastAsia="楷体_GB2312"/>
          <w:kern w:val="0"/>
          <w:sz w:val="32"/>
          <w:szCs w:val="32"/>
        </w:rPr>
        <w:t>市统计局</w:t>
      </w:r>
    </w:p>
    <w:p>
      <w:pPr>
        <w:spacing w:line="586" w:lineRule="exact"/>
        <w:jc w:val="center"/>
        <w:rPr>
          <w:rFonts w:ascii="Times New Roman" w:hAnsi="Times New Roman" w:eastAsia="楷体_GB2312"/>
          <w:kern w:val="0"/>
          <w:sz w:val="32"/>
          <w:szCs w:val="32"/>
        </w:rPr>
      </w:pPr>
      <w:r>
        <w:rPr>
          <w:rFonts w:hint="eastAsia" w:ascii="Times New Roman" w:hAnsi="Times New Roman" w:eastAsia="楷体_GB2312"/>
          <w:kern w:val="0"/>
          <w:sz w:val="32"/>
          <w:szCs w:val="32"/>
        </w:rPr>
        <w:t>荔浦</w:t>
      </w:r>
      <w:r>
        <w:rPr>
          <w:rFonts w:ascii="Times New Roman" w:hAnsi="Times New Roman" w:eastAsia="楷体_GB2312"/>
          <w:kern w:val="0"/>
          <w:sz w:val="32"/>
          <w:szCs w:val="32"/>
        </w:rPr>
        <w:t>市第四次全国经济普查领导小组办公室</w:t>
      </w:r>
    </w:p>
    <w:p>
      <w:pPr>
        <w:spacing w:line="586" w:lineRule="exact"/>
        <w:jc w:val="center"/>
        <w:rPr>
          <w:rFonts w:ascii="Times New Roman" w:hAnsi="Times New Roman" w:eastAsia="楷体_GB2312"/>
          <w:kern w:val="0"/>
          <w:sz w:val="32"/>
          <w:szCs w:val="32"/>
        </w:rPr>
      </w:pPr>
      <w:r>
        <w:rPr>
          <w:rFonts w:ascii="Times New Roman" w:hAnsi="Times New Roman" w:eastAsia="楷体_GB2312"/>
          <w:kern w:val="0"/>
          <w:sz w:val="32"/>
          <w:szCs w:val="32"/>
        </w:rPr>
        <w:t>2020年</w:t>
      </w:r>
      <w:r>
        <w:rPr>
          <w:rFonts w:hint="eastAsia" w:ascii="Times New Roman" w:hAnsi="Times New Roman" w:eastAsia="楷体_GB2312"/>
          <w:kern w:val="0"/>
          <w:sz w:val="32"/>
          <w:szCs w:val="32"/>
          <w:lang w:val="en-US" w:eastAsia="zh-CN"/>
        </w:rPr>
        <w:t>4</w:t>
      </w:r>
      <w:r>
        <w:rPr>
          <w:rFonts w:ascii="Times New Roman" w:hAnsi="Times New Roman" w:eastAsia="楷体_GB2312"/>
          <w:kern w:val="0"/>
          <w:sz w:val="32"/>
          <w:szCs w:val="32"/>
        </w:rPr>
        <w:t>月</w:t>
      </w:r>
      <w:r>
        <w:rPr>
          <w:rFonts w:hint="eastAsia" w:ascii="Times New Roman" w:hAnsi="Times New Roman" w:eastAsia="楷体_GB2312"/>
          <w:kern w:val="0"/>
          <w:sz w:val="32"/>
          <w:szCs w:val="32"/>
        </w:rPr>
        <w:t>30</w:t>
      </w:r>
      <w:r>
        <w:rPr>
          <w:rFonts w:ascii="Times New Roman" w:hAnsi="Times New Roman" w:eastAsia="楷体_GB2312"/>
          <w:kern w:val="0"/>
          <w:sz w:val="32"/>
          <w:szCs w:val="32"/>
        </w:rPr>
        <w:t>日</w:t>
      </w:r>
    </w:p>
    <w:p>
      <w:pPr>
        <w:spacing w:line="586" w:lineRule="exact"/>
        <w:ind w:firstLine="560" w:firstLineChars="200"/>
        <w:rPr>
          <w:rFonts w:ascii="Times New Roman" w:hAnsi="Times New Roman" w:eastAsia="黑体"/>
          <w:kern w:val="0"/>
          <w:sz w:val="32"/>
          <w:szCs w:val="32"/>
        </w:rPr>
      </w:pPr>
      <w:r>
        <w:rPr>
          <w:rFonts w:ascii="Times New Roman" w:hAnsi="Times New Roman"/>
          <w:kern w:val="0"/>
          <w:sz w:val="28"/>
          <w:szCs w:val="28"/>
        </w:rPr>
        <w:t xml:space="preserve"> </w:t>
      </w:r>
      <w:r>
        <w:rPr>
          <w:rFonts w:ascii="Times New Roman" w:hAnsi="Times New Roman" w:eastAsia="仿宋_GB2312"/>
          <w:kern w:val="0"/>
          <w:sz w:val="32"/>
          <w:szCs w:val="32"/>
        </w:rPr>
        <w:t>根据</w:t>
      </w:r>
      <w:r>
        <w:rPr>
          <w:rFonts w:hint="eastAsia" w:ascii="Times New Roman" w:hAnsi="Times New Roman" w:eastAsia="仿宋_GB2312"/>
          <w:kern w:val="0"/>
          <w:sz w:val="32"/>
          <w:szCs w:val="32"/>
        </w:rPr>
        <w:t>荔浦</w:t>
      </w:r>
      <w:r>
        <w:rPr>
          <w:rFonts w:ascii="Times New Roman" w:hAnsi="Times New Roman" w:eastAsia="仿宋_GB2312"/>
          <w:kern w:val="0"/>
          <w:sz w:val="32"/>
          <w:szCs w:val="32"/>
        </w:rPr>
        <w:t>市第四次全国经济普查结果，现将我市第三产业中科学研究和技术服务业，水利、环境和公共设施管理业，居民服务、修理和其他服务业，教育，卫生和社会工作，文化、体育和娱乐业，公共管理、社会保障和社会组织的主要数据公布如下：</w:t>
      </w:r>
    </w:p>
    <w:p>
      <w:pPr>
        <w:spacing w:line="600" w:lineRule="atLeas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一、科学研究和技术服务业</w:t>
      </w:r>
    </w:p>
    <w:p>
      <w:pPr>
        <w:widowControl/>
        <w:spacing w:line="600" w:lineRule="atLeas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（一）法人单位数和从业人员</w:t>
      </w:r>
      <w:r>
        <w:rPr>
          <w:rFonts w:ascii="Times New Roman" w:hAnsi="Times New Roman" w:eastAsia="仿宋_GB2312"/>
          <w:kern w:val="0"/>
          <w:sz w:val="32"/>
          <w:szCs w:val="32"/>
        </w:rPr>
        <w:t>。</w:t>
      </w:r>
    </w:p>
    <w:p>
      <w:pPr>
        <w:spacing w:line="600" w:lineRule="atLeas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2018年末，全市共有科学研究和技术服务业法人单位</w:t>
      </w:r>
      <w:r>
        <w:rPr>
          <w:rFonts w:hint="eastAsia" w:ascii="Times New Roman" w:hAnsi="Times New Roman" w:eastAsia="仿宋_GB2312"/>
          <w:kern w:val="0"/>
          <w:sz w:val="32"/>
          <w:szCs w:val="32"/>
        </w:rPr>
        <w:t>135</w:t>
      </w:r>
      <w:r>
        <w:rPr>
          <w:rFonts w:ascii="Times New Roman" w:hAnsi="Times New Roman" w:eastAsia="仿宋_GB2312"/>
          <w:color w:val="000000"/>
          <w:kern w:val="0"/>
          <w:sz w:val="32"/>
          <w:szCs w:val="32"/>
        </w:rPr>
        <w:t>个</w:t>
      </w:r>
      <w:r>
        <w:rPr>
          <w:rFonts w:ascii="Times New Roman" w:hAnsi="Times New Roman" w:eastAsia="仿宋_GB2312"/>
          <w:kern w:val="0"/>
          <w:sz w:val="32"/>
          <w:szCs w:val="32"/>
        </w:rPr>
        <w:t>，从业人员</w:t>
      </w:r>
      <w:r>
        <w:rPr>
          <w:rFonts w:hint="eastAsia" w:ascii="Times New Roman" w:hAnsi="Times New Roman" w:eastAsia="仿宋_GB2312"/>
          <w:kern w:val="0"/>
          <w:sz w:val="32"/>
          <w:szCs w:val="32"/>
        </w:rPr>
        <w:t>350</w:t>
      </w:r>
      <w:r>
        <w:rPr>
          <w:rFonts w:ascii="Times New Roman" w:hAnsi="Times New Roman" w:eastAsia="仿宋_GB2312"/>
          <w:kern w:val="0"/>
          <w:sz w:val="32"/>
          <w:szCs w:val="32"/>
        </w:rPr>
        <w:t>人。其中，企业法人单位</w:t>
      </w:r>
      <w:r>
        <w:rPr>
          <w:rFonts w:hint="eastAsia" w:ascii="Times New Roman" w:hAnsi="Times New Roman" w:eastAsia="仿宋_GB2312"/>
          <w:sz w:val="32"/>
          <w:szCs w:val="32"/>
        </w:rPr>
        <w:t>91</w:t>
      </w:r>
      <w:r>
        <w:rPr>
          <w:rFonts w:ascii="Times New Roman" w:hAnsi="Times New Roman" w:eastAsia="仿宋_GB2312"/>
          <w:kern w:val="0"/>
          <w:sz w:val="32"/>
          <w:szCs w:val="32"/>
        </w:rPr>
        <w:t>个，从业人员</w:t>
      </w:r>
      <w:r>
        <w:rPr>
          <w:rFonts w:hint="eastAsia" w:ascii="Times New Roman" w:hAnsi="Times New Roman" w:eastAsia="仿宋_GB2312"/>
          <w:sz w:val="32"/>
          <w:szCs w:val="32"/>
        </w:rPr>
        <w:t>319</w:t>
      </w:r>
      <w:r>
        <w:rPr>
          <w:rFonts w:ascii="Times New Roman" w:hAnsi="Times New Roman" w:eastAsia="仿宋_GB2312"/>
          <w:kern w:val="0"/>
          <w:sz w:val="32"/>
          <w:szCs w:val="32"/>
        </w:rPr>
        <w:t>人，分别比2013年末增长</w:t>
      </w:r>
      <w:r>
        <w:rPr>
          <w:rFonts w:hint="eastAsia" w:ascii="Times New Roman" w:hAnsi="Times New Roman" w:eastAsia="仿宋_GB2312"/>
          <w:kern w:val="0"/>
          <w:sz w:val="32"/>
          <w:szCs w:val="32"/>
          <w:lang w:val="en-US" w:eastAsia="zh-CN"/>
        </w:rPr>
        <w:t>658.3</w:t>
      </w:r>
      <w:r>
        <w:rPr>
          <w:rFonts w:ascii="Times New Roman" w:hAnsi="Times New Roman" w:eastAsia="仿宋_GB2312"/>
          <w:kern w:val="0"/>
          <w:sz w:val="32"/>
          <w:szCs w:val="32"/>
        </w:rPr>
        <w:t>%和</w:t>
      </w:r>
      <w:r>
        <w:rPr>
          <w:rFonts w:hint="eastAsia" w:ascii="Times New Roman" w:hAnsi="Times New Roman" w:eastAsia="仿宋_GB2312"/>
          <w:kern w:val="0"/>
          <w:sz w:val="32"/>
          <w:szCs w:val="32"/>
          <w:lang w:val="en-US" w:eastAsia="zh-CN"/>
        </w:rPr>
        <w:t>165.9</w:t>
      </w:r>
      <w:r>
        <w:rPr>
          <w:rFonts w:ascii="Times New Roman" w:hAnsi="Times New Roman" w:eastAsia="仿宋_GB2312"/>
          <w:kern w:val="0"/>
          <w:sz w:val="32"/>
          <w:szCs w:val="32"/>
        </w:rPr>
        <w:t>%（详见表5-1）。</w:t>
      </w:r>
    </w:p>
    <w:tbl>
      <w:tblPr>
        <w:tblStyle w:val="3"/>
        <w:tblW w:w="873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078"/>
        <w:gridCol w:w="3101"/>
        <w:gridCol w:w="2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2" w:hRule="atLeast"/>
          <w:jc w:val="center"/>
        </w:trPr>
        <w:tc>
          <w:tcPr>
            <w:tcW w:w="8737" w:type="dxa"/>
            <w:gridSpan w:val="4"/>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kern w:val="0"/>
                <w:sz w:val="24"/>
                <w:szCs w:val="24"/>
              </w:rPr>
            </w:pPr>
            <w:r>
              <w:rPr>
                <w:rFonts w:ascii="Times New Roman" w:hAnsi="Times New Roman"/>
                <w:b/>
                <w:bCs/>
                <w:kern w:val="0"/>
                <w:sz w:val="24"/>
                <w:szCs w:val="24"/>
              </w:rPr>
              <w:t>表5-1 按行业大类分组的科学研究和技术服务业企业法人单位和从业人员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085" w:type="dxa"/>
            <w:gridSpan w:val="2"/>
            <w:tcBorders>
              <w:top w:val="nil"/>
              <w:left w:val="nil"/>
              <w:bottom w:val="single" w:color="auto" w:sz="4" w:space="0"/>
              <w:right w:val="single" w:color="auto" w:sz="4" w:space="0"/>
            </w:tcBorders>
            <w:vAlign w:val="center"/>
          </w:tcPr>
          <w:p>
            <w:pPr>
              <w:widowControl/>
              <w:ind w:left="57" w:right="57"/>
              <w:jc w:val="center"/>
              <w:rPr>
                <w:rFonts w:ascii="Times New Roman" w:hAnsi="Times New Roman"/>
                <w:kern w:val="0"/>
                <w:sz w:val="18"/>
                <w:szCs w:val="18"/>
              </w:rPr>
            </w:pPr>
            <w:r>
              <w:rPr>
                <w:rFonts w:ascii="Times New Roman" w:hAnsi="Times New Roman"/>
                <w:kern w:val="0"/>
                <w:szCs w:val="24"/>
              </w:rPr>
              <w:t> </w:t>
            </w:r>
          </w:p>
        </w:tc>
        <w:tc>
          <w:tcPr>
            <w:tcW w:w="3101"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企业法人单位</w:t>
            </w:r>
          </w:p>
          <w:p>
            <w:pPr>
              <w:widowControl/>
              <w:ind w:left="57" w:right="57"/>
              <w:jc w:val="center"/>
              <w:rPr>
                <w:rFonts w:ascii="Times New Roman" w:hAnsi="Times New Roman"/>
                <w:b/>
                <w:bCs/>
                <w:kern w:val="0"/>
                <w:sz w:val="18"/>
                <w:szCs w:val="18"/>
              </w:rPr>
            </w:pPr>
            <w:r>
              <w:rPr>
                <w:rFonts w:ascii="Times New Roman" w:hAnsi="Times New Roman"/>
                <w:b/>
                <w:bCs/>
                <w:kern w:val="0"/>
                <w:szCs w:val="24"/>
              </w:rPr>
              <w:t>（个）</w:t>
            </w:r>
          </w:p>
        </w:tc>
        <w:tc>
          <w:tcPr>
            <w:tcW w:w="2551" w:type="dxa"/>
            <w:tcBorders>
              <w:top w:val="nil"/>
              <w:left w:val="nil"/>
              <w:bottom w:val="single" w:color="auto" w:sz="4" w:space="0"/>
              <w:right w:val="nil"/>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从业人员</w:t>
            </w:r>
          </w:p>
          <w:p>
            <w:pPr>
              <w:widowControl/>
              <w:ind w:left="57" w:right="57"/>
              <w:jc w:val="center"/>
              <w:rPr>
                <w:rFonts w:ascii="Times New Roman" w:hAnsi="Times New Roman"/>
                <w:b/>
                <w:bCs/>
                <w:kern w:val="0"/>
                <w:sz w:val="18"/>
                <w:szCs w:val="18"/>
              </w:rPr>
            </w:pPr>
            <w:r>
              <w:rPr>
                <w:rFonts w:ascii="Times New Roman" w:hAnsi="Times New Roman"/>
                <w:b/>
                <w:bCs/>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078"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3101" w:type="dxa"/>
            <w:tcBorders>
              <w:top w:val="single" w:color="auto" w:sz="4" w:space="0"/>
              <w:left w:val="nil"/>
              <w:bottom w:val="nil"/>
              <w:right w:val="single" w:color="auto" w:sz="4" w:space="0"/>
            </w:tcBorders>
            <w:vAlign w:val="top"/>
          </w:tcPr>
          <w:p>
            <w:pPr>
              <w:jc w:val="right"/>
              <w:rPr>
                <w:rFonts w:ascii="Times New Roman" w:hAnsi="Times New Roman"/>
                <w:color w:val="000000"/>
                <w:szCs w:val="21"/>
              </w:rPr>
            </w:pPr>
            <w:r>
              <w:rPr>
                <w:rFonts w:hint="eastAsia" w:ascii="Times New Roman" w:hAnsi="Times New Roman"/>
                <w:color w:val="000000"/>
                <w:szCs w:val="24"/>
              </w:rPr>
              <w:t>91</w:t>
            </w:r>
          </w:p>
        </w:tc>
        <w:tc>
          <w:tcPr>
            <w:tcW w:w="2551" w:type="dxa"/>
            <w:tcBorders>
              <w:top w:val="single" w:color="auto" w:sz="4" w:space="0"/>
              <w:left w:val="nil"/>
              <w:bottom w:val="nil"/>
              <w:right w:val="nil"/>
            </w:tcBorders>
            <w:vAlign w:val="top"/>
          </w:tcPr>
          <w:p>
            <w:pPr>
              <w:jc w:val="right"/>
              <w:rPr>
                <w:rFonts w:ascii="Times New Roman" w:hAnsi="Times New Roman"/>
                <w:color w:val="000000"/>
                <w:szCs w:val="21"/>
              </w:rPr>
            </w:pPr>
            <w:r>
              <w:rPr>
                <w:rFonts w:hint="eastAsia" w:ascii="Times New Roman" w:hAnsi="Times New Roman"/>
                <w:color w:val="000000"/>
                <w:szCs w:val="24"/>
              </w:rPr>
              <w:t>319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078"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研究和试验发展</w:t>
            </w:r>
          </w:p>
        </w:tc>
        <w:tc>
          <w:tcPr>
            <w:tcW w:w="3101" w:type="dxa"/>
            <w:tcBorders>
              <w:top w:val="nil"/>
              <w:left w:val="nil"/>
              <w:bottom w:val="nil"/>
              <w:right w:val="single" w:color="auto" w:sz="4" w:space="0"/>
            </w:tcBorders>
            <w:vAlign w:val="top"/>
          </w:tcPr>
          <w:p>
            <w:pPr>
              <w:jc w:val="right"/>
              <w:rPr>
                <w:rFonts w:ascii="Times New Roman" w:hAnsi="Times New Roman"/>
                <w:color w:val="000000"/>
                <w:szCs w:val="21"/>
              </w:rPr>
            </w:pPr>
            <w:r>
              <w:rPr>
                <w:rFonts w:hint="eastAsia" w:ascii="Times New Roman" w:hAnsi="Times New Roman"/>
                <w:color w:val="000000"/>
                <w:szCs w:val="24"/>
              </w:rPr>
              <w:t>3</w:t>
            </w:r>
          </w:p>
        </w:tc>
        <w:tc>
          <w:tcPr>
            <w:tcW w:w="2551" w:type="dxa"/>
            <w:tcBorders>
              <w:top w:val="nil"/>
              <w:left w:val="nil"/>
              <w:bottom w:val="nil"/>
              <w:right w:val="nil"/>
            </w:tcBorders>
            <w:vAlign w:val="top"/>
          </w:tcPr>
          <w:p>
            <w:pPr>
              <w:jc w:val="right"/>
              <w:rPr>
                <w:rFonts w:ascii="Times New Roman" w:hAnsi="Times New Roman"/>
                <w:color w:val="000000"/>
                <w:szCs w:val="21"/>
              </w:rPr>
            </w:pPr>
            <w:r>
              <w:rPr>
                <w:rFonts w:hint="eastAsia" w:ascii="Times New Roman" w:hAnsi="Times New Roman"/>
                <w:color w:val="000000"/>
                <w:szCs w:val="24"/>
              </w:rPr>
              <w:t>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078"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专业技术服务业</w:t>
            </w:r>
          </w:p>
        </w:tc>
        <w:tc>
          <w:tcPr>
            <w:tcW w:w="3101" w:type="dxa"/>
            <w:tcBorders>
              <w:top w:val="nil"/>
              <w:left w:val="nil"/>
              <w:bottom w:val="nil"/>
              <w:right w:val="single" w:color="auto" w:sz="4" w:space="0"/>
            </w:tcBorders>
            <w:vAlign w:val="top"/>
          </w:tcPr>
          <w:p>
            <w:pPr>
              <w:jc w:val="right"/>
              <w:rPr>
                <w:rFonts w:ascii="Times New Roman" w:hAnsi="Times New Roman"/>
                <w:color w:val="000000"/>
                <w:szCs w:val="21"/>
              </w:rPr>
            </w:pPr>
            <w:r>
              <w:rPr>
                <w:rFonts w:hint="eastAsia" w:ascii="Times New Roman" w:hAnsi="Times New Roman"/>
                <w:color w:val="000000"/>
                <w:szCs w:val="24"/>
              </w:rPr>
              <w:t>16</w:t>
            </w:r>
          </w:p>
        </w:tc>
        <w:tc>
          <w:tcPr>
            <w:tcW w:w="2551" w:type="dxa"/>
            <w:tcBorders>
              <w:top w:val="nil"/>
              <w:left w:val="nil"/>
              <w:bottom w:val="nil"/>
              <w:right w:val="nil"/>
            </w:tcBorders>
            <w:vAlign w:val="top"/>
          </w:tcPr>
          <w:p>
            <w:pPr>
              <w:jc w:val="right"/>
              <w:rPr>
                <w:rFonts w:ascii="Times New Roman" w:hAnsi="Times New Roman"/>
                <w:color w:val="000000"/>
                <w:szCs w:val="21"/>
              </w:rPr>
            </w:pPr>
            <w:r>
              <w:rPr>
                <w:rFonts w:hint="eastAsia" w:ascii="Times New Roman" w:hAnsi="Times New Roman"/>
                <w:color w:val="000000"/>
                <w:szCs w:val="24"/>
              </w:rPr>
              <w:t>159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078" w:type="dxa"/>
            <w:tcBorders>
              <w:top w:val="nil"/>
              <w:left w:val="nil"/>
              <w:bottom w:val="single" w:color="auto" w:sz="12" w:space="0"/>
              <w:right w:val="single" w:color="auto" w:sz="4" w:space="0"/>
            </w:tcBorders>
            <w:vAlign w:val="center"/>
          </w:tcPr>
          <w:p>
            <w:pPr>
              <w:rPr>
                <w:rFonts w:ascii="Times New Roman" w:hAnsi="Times New Roman"/>
                <w:szCs w:val="21"/>
              </w:rPr>
            </w:pPr>
            <w:r>
              <w:rPr>
                <w:rFonts w:ascii="Times New Roman" w:hAnsi="Times New Roman"/>
                <w:kern w:val="0"/>
                <w:szCs w:val="24"/>
              </w:rPr>
              <w:t xml:space="preserve"> 科技推广和应用服务业</w:t>
            </w:r>
          </w:p>
        </w:tc>
        <w:tc>
          <w:tcPr>
            <w:tcW w:w="3101" w:type="dxa"/>
            <w:tcBorders>
              <w:top w:val="nil"/>
              <w:left w:val="nil"/>
              <w:bottom w:val="single" w:color="auto" w:sz="12" w:space="0"/>
              <w:right w:val="single" w:color="auto" w:sz="4" w:space="0"/>
            </w:tcBorders>
            <w:vAlign w:val="top"/>
          </w:tcPr>
          <w:p>
            <w:pPr>
              <w:jc w:val="right"/>
              <w:rPr>
                <w:rFonts w:ascii="Times New Roman" w:hAnsi="Times New Roman"/>
                <w:color w:val="000000"/>
                <w:szCs w:val="21"/>
              </w:rPr>
            </w:pPr>
            <w:r>
              <w:rPr>
                <w:rFonts w:hint="eastAsia" w:ascii="Times New Roman" w:hAnsi="Times New Roman"/>
                <w:color w:val="000000"/>
                <w:szCs w:val="24"/>
              </w:rPr>
              <w:t>72</w:t>
            </w:r>
          </w:p>
        </w:tc>
        <w:tc>
          <w:tcPr>
            <w:tcW w:w="2551" w:type="dxa"/>
            <w:tcBorders>
              <w:top w:val="nil"/>
              <w:left w:val="nil"/>
              <w:bottom w:val="single" w:color="auto" w:sz="12" w:space="0"/>
              <w:right w:val="nil"/>
            </w:tcBorders>
            <w:vAlign w:val="top"/>
          </w:tcPr>
          <w:p>
            <w:pPr>
              <w:jc w:val="right"/>
              <w:rPr>
                <w:rFonts w:ascii="Times New Roman" w:hAnsi="Times New Roman"/>
                <w:color w:val="000000"/>
                <w:szCs w:val="21"/>
              </w:rPr>
            </w:pPr>
            <w:r>
              <w:rPr>
                <w:rFonts w:hint="eastAsia" w:ascii="Times New Roman" w:hAnsi="Times New Roman"/>
                <w:color w:val="000000"/>
                <w:szCs w:val="24"/>
              </w:rPr>
              <w:t>134</w:t>
            </w:r>
          </w:p>
        </w:tc>
      </w:tr>
    </w:tbl>
    <w:p>
      <w:pPr>
        <w:spacing w:line="560" w:lineRule="atLeas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在科学研究和技术服务业企业法人单位中，内资企业占</w:t>
      </w:r>
      <w:r>
        <w:rPr>
          <w:rFonts w:hint="eastAsia" w:ascii="Times New Roman" w:hAnsi="Times New Roman" w:eastAsia="仿宋_GB2312"/>
          <w:kern w:val="0"/>
          <w:sz w:val="32"/>
          <w:szCs w:val="32"/>
        </w:rPr>
        <w:t>100</w:t>
      </w:r>
      <w:r>
        <w:rPr>
          <w:rFonts w:ascii="Times New Roman" w:hAnsi="Times New Roman" w:eastAsia="仿宋_GB2312"/>
          <w:kern w:val="0"/>
          <w:sz w:val="32"/>
          <w:szCs w:val="32"/>
        </w:rPr>
        <w:t>%，港、澳、台商投资企业占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%，外商投资企业占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w:t>
      </w:r>
    </w:p>
    <w:p>
      <w:pPr>
        <w:spacing w:line="560" w:lineRule="atLeas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在科学研究和技术服务业企业法人单位从业人员中，内资企业占</w:t>
      </w:r>
      <w:r>
        <w:rPr>
          <w:rFonts w:hint="eastAsia" w:ascii="Times New Roman" w:hAnsi="Times New Roman" w:eastAsia="仿宋_GB2312"/>
          <w:kern w:val="0"/>
          <w:sz w:val="32"/>
          <w:szCs w:val="32"/>
        </w:rPr>
        <w:t>100</w:t>
      </w:r>
      <w:r>
        <w:rPr>
          <w:rFonts w:ascii="Times New Roman" w:hAnsi="Times New Roman" w:eastAsia="仿宋_GB2312"/>
          <w:kern w:val="0"/>
          <w:sz w:val="32"/>
          <w:szCs w:val="32"/>
        </w:rPr>
        <w:t>%，港、澳、台商投资企业占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%，外商投资企业占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%（详见表5-2）。</w:t>
      </w:r>
    </w:p>
    <w:tbl>
      <w:tblPr>
        <w:tblStyle w:val="3"/>
        <w:tblW w:w="890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56"/>
        <w:gridCol w:w="3027"/>
        <w:gridCol w:w="24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45" w:hRule="atLeast"/>
          <w:jc w:val="center"/>
        </w:trPr>
        <w:tc>
          <w:tcPr>
            <w:tcW w:w="8900" w:type="dxa"/>
            <w:gridSpan w:val="3"/>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kern w:val="0"/>
                <w:sz w:val="24"/>
                <w:szCs w:val="24"/>
              </w:rPr>
            </w:pPr>
            <w:r>
              <w:rPr>
                <w:rFonts w:ascii="Times New Roman" w:hAnsi="Times New Roman"/>
                <w:b/>
                <w:bCs/>
                <w:kern w:val="0"/>
                <w:sz w:val="24"/>
                <w:szCs w:val="24"/>
              </w:rPr>
              <w:t>表5-2 按登记注册类型分组的科学研究和技术服务业企业法人单位和从业人员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52" w:hRule="atLeast"/>
          <w:jc w:val="center"/>
        </w:trPr>
        <w:tc>
          <w:tcPr>
            <w:tcW w:w="3456"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 w:val="18"/>
                <w:szCs w:val="18"/>
              </w:rPr>
            </w:pPr>
            <w:r>
              <w:rPr>
                <w:rFonts w:ascii="Times New Roman" w:hAnsi="Times New Roman"/>
                <w:b/>
                <w:bCs/>
                <w:kern w:val="0"/>
                <w:szCs w:val="24"/>
              </w:rPr>
              <w:t> </w:t>
            </w:r>
          </w:p>
        </w:tc>
        <w:tc>
          <w:tcPr>
            <w:tcW w:w="3027"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color w:val="000000"/>
                <w:kern w:val="0"/>
                <w:szCs w:val="21"/>
              </w:rPr>
            </w:pPr>
            <w:r>
              <w:rPr>
                <w:rFonts w:ascii="Times New Roman" w:hAnsi="Times New Roman"/>
                <w:b/>
                <w:bCs/>
                <w:color w:val="000000"/>
                <w:kern w:val="0"/>
                <w:szCs w:val="24"/>
              </w:rPr>
              <w:t>企业法人单位</w:t>
            </w:r>
          </w:p>
          <w:p>
            <w:pPr>
              <w:widowControl/>
              <w:ind w:left="57" w:right="57"/>
              <w:jc w:val="center"/>
              <w:rPr>
                <w:rFonts w:ascii="Times New Roman" w:hAnsi="Times New Roman"/>
                <w:b/>
                <w:bCs/>
                <w:color w:val="000000"/>
                <w:kern w:val="0"/>
                <w:sz w:val="18"/>
                <w:szCs w:val="18"/>
              </w:rPr>
            </w:pPr>
            <w:r>
              <w:rPr>
                <w:rFonts w:ascii="Times New Roman" w:hAnsi="Times New Roman"/>
                <w:b/>
                <w:bCs/>
                <w:color w:val="000000"/>
                <w:kern w:val="0"/>
                <w:szCs w:val="24"/>
              </w:rPr>
              <w:t>（个）</w:t>
            </w:r>
          </w:p>
        </w:tc>
        <w:tc>
          <w:tcPr>
            <w:tcW w:w="2417" w:type="dxa"/>
            <w:tcBorders>
              <w:top w:val="nil"/>
              <w:left w:val="nil"/>
              <w:bottom w:val="single" w:color="auto" w:sz="4" w:space="0"/>
              <w:right w:val="nil"/>
            </w:tcBorders>
            <w:vAlign w:val="center"/>
          </w:tcPr>
          <w:p>
            <w:pPr>
              <w:widowControl/>
              <w:ind w:left="57" w:right="57"/>
              <w:jc w:val="center"/>
              <w:rPr>
                <w:rFonts w:ascii="Times New Roman" w:hAnsi="Times New Roman"/>
                <w:b/>
                <w:bCs/>
                <w:color w:val="000000"/>
                <w:kern w:val="0"/>
                <w:szCs w:val="21"/>
              </w:rPr>
            </w:pPr>
            <w:r>
              <w:rPr>
                <w:rFonts w:ascii="Times New Roman" w:hAnsi="Times New Roman"/>
                <w:b/>
                <w:bCs/>
                <w:color w:val="000000"/>
                <w:kern w:val="0"/>
                <w:szCs w:val="24"/>
              </w:rPr>
              <w:t>从业人员</w:t>
            </w:r>
          </w:p>
          <w:p>
            <w:pPr>
              <w:widowControl/>
              <w:ind w:left="57" w:right="57"/>
              <w:jc w:val="center"/>
              <w:rPr>
                <w:rFonts w:ascii="Times New Roman" w:hAnsi="Times New Roman"/>
                <w:b/>
                <w:bCs/>
                <w:color w:val="000000"/>
                <w:kern w:val="0"/>
                <w:sz w:val="18"/>
                <w:szCs w:val="18"/>
              </w:rPr>
            </w:pPr>
            <w:r>
              <w:rPr>
                <w:rFonts w:ascii="Times New Roman" w:hAnsi="Times New Roman"/>
                <w:b/>
                <w:bCs/>
                <w:color w:val="000000"/>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3027" w:type="dxa"/>
            <w:tcBorders>
              <w:top w:val="single" w:color="auto" w:sz="4" w:space="0"/>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91</w:t>
            </w:r>
          </w:p>
        </w:tc>
        <w:tc>
          <w:tcPr>
            <w:tcW w:w="2417" w:type="dxa"/>
            <w:tcBorders>
              <w:top w:val="single" w:color="auto" w:sz="4" w:space="0"/>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内资企业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91</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319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国有企业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集体企业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股份合作企业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有限责任公司</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37</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股份有限公司</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8</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私营企业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34</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top"/>
          </w:tcPr>
          <w:p>
            <w:pPr>
              <w:jc w:val="left"/>
              <w:rPr>
                <w:rFonts w:ascii="Times New Roman" w:hAnsi="Times New Roman"/>
                <w:color w:val="000000"/>
                <w:sz w:val="18"/>
                <w:szCs w:val="18"/>
              </w:rPr>
            </w:pPr>
            <w:r>
              <w:rPr>
                <w:rFonts w:ascii="Times New Roman" w:hAnsi="Times New Roman"/>
                <w:color w:val="000000"/>
                <w:sz w:val="18"/>
                <w:szCs w:val="18"/>
              </w:rPr>
              <w:t xml:space="preserve">      其他企业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11</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nil"/>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港、澳、台商投资企业</w:t>
            </w:r>
          </w:p>
        </w:tc>
        <w:tc>
          <w:tcPr>
            <w:tcW w:w="3027"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17"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22" w:hRule="atLeast"/>
          <w:jc w:val="center"/>
        </w:trPr>
        <w:tc>
          <w:tcPr>
            <w:tcW w:w="3456" w:type="dxa"/>
            <w:tcBorders>
              <w:top w:val="nil"/>
              <w:left w:val="nil"/>
              <w:bottom w:val="single" w:color="auto" w:sz="12" w:space="0"/>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外商投资企业</w:t>
            </w:r>
          </w:p>
        </w:tc>
        <w:tc>
          <w:tcPr>
            <w:tcW w:w="3027" w:type="dxa"/>
            <w:tcBorders>
              <w:top w:val="nil"/>
              <w:left w:val="nil"/>
              <w:bottom w:val="single" w:color="auto" w:sz="12" w:space="0"/>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17" w:type="dxa"/>
            <w:tcBorders>
              <w:top w:val="nil"/>
              <w:left w:val="nil"/>
              <w:bottom w:val="single" w:color="auto" w:sz="12" w:space="0"/>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bl>
    <w:p>
      <w:pPr>
        <w:widowControl/>
        <w:spacing w:line="586"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2018年末，科学研究和技术服务业企业法人单位资产总计</w:t>
      </w:r>
      <w:r>
        <w:rPr>
          <w:rFonts w:hint="eastAsia" w:ascii="Times New Roman" w:hAnsi="Times New Roman" w:eastAsia="仿宋_GB2312"/>
          <w:sz w:val="32"/>
          <w:szCs w:val="32"/>
        </w:rPr>
        <w:t>12238.2万</w:t>
      </w:r>
      <w:r>
        <w:rPr>
          <w:rFonts w:ascii="Times New Roman" w:hAnsi="Times New Roman" w:eastAsia="仿宋_GB2312"/>
          <w:kern w:val="0"/>
          <w:sz w:val="32"/>
          <w:szCs w:val="32"/>
        </w:rPr>
        <w:t>元。负债合计</w:t>
      </w:r>
      <w:r>
        <w:rPr>
          <w:rFonts w:hint="eastAsia" w:ascii="Times New Roman" w:hAnsi="Times New Roman" w:eastAsia="仿宋_GB2312"/>
          <w:sz w:val="32"/>
          <w:szCs w:val="32"/>
        </w:rPr>
        <w:t>2154.5万</w:t>
      </w:r>
      <w:r>
        <w:rPr>
          <w:rFonts w:ascii="Times New Roman" w:hAnsi="Times New Roman" w:eastAsia="仿宋_GB2312"/>
          <w:kern w:val="0"/>
          <w:sz w:val="32"/>
          <w:szCs w:val="32"/>
        </w:rPr>
        <w:t>元。全年实现营业收入</w:t>
      </w:r>
      <w:r>
        <w:rPr>
          <w:rFonts w:hint="eastAsia" w:ascii="Times New Roman" w:hAnsi="Times New Roman" w:eastAsia="仿宋_GB2312"/>
          <w:sz w:val="32"/>
          <w:szCs w:val="32"/>
        </w:rPr>
        <w:t>4100.4万</w:t>
      </w:r>
      <w:r>
        <w:rPr>
          <w:rFonts w:ascii="Times New Roman" w:hAnsi="Times New Roman" w:eastAsia="仿宋_GB2312"/>
          <w:kern w:val="0"/>
          <w:sz w:val="32"/>
          <w:szCs w:val="32"/>
        </w:rPr>
        <w:t>元（详见表5-3）。</w:t>
      </w:r>
    </w:p>
    <w:tbl>
      <w:tblPr>
        <w:tblStyle w:val="3"/>
        <w:tblW w:w="8796"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4141"/>
        <w:gridCol w:w="1549"/>
        <w:gridCol w:w="1549"/>
        <w:gridCol w:w="15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74" w:hRule="atLeast"/>
          <w:jc w:val="center"/>
        </w:trPr>
        <w:tc>
          <w:tcPr>
            <w:tcW w:w="8796" w:type="dxa"/>
            <w:gridSpan w:val="5"/>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表5-3 按行业大类分组的科学研究和技术服务业企业法人单位主要经济指标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42" w:hRule="atLeast"/>
          <w:jc w:val="center"/>
        </w:trPr>
        <w:tc>
          <w:tcPr>
            <w:tcW w:w="4148" w:type="dxa"/>
            <w:gridSpan w:val="2"/>
            <w:tcBorders>
              <w:top w:val="nil"/>
              <w:left w:val="nil"/>
              <w:bottom w:val="single" w:color="auto" w:sz="4" w:space="0"/>
              <w:right w:val="single" w:color="auto" w:sz="4" w:space="0"/>
            </w:tcBorders>
            <w:vAlign w:val="center"/>
          </w:tcPr>
          <w:p>
            <w:pPr>
              <w:widowControl/>
              <w:ind w:right="57"/>
              <w:rPr>
                <w:rFonts w:ascii="Times New Roman" w:hAnsi="Times New Roman"/>
                <w:b/>
                <w:bCs/>
                <w:kern w:val="0"/>
                <w:sz w:val="18"/>
                <w:szCs w:val="18"/>
              </w:rPr>
            </w:pPr>
          </w:p>
        </w:tc>
        <w:tc>
          <w:tcPr>
            <w:tcW w:w="1549"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资产总计</w:t>
            </w:r>
          </w:p>
          <w:p>
            <w:pPr>
              <w:widowControl/>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c>
          <w:tcPr>
            <w:tcW w:w="1549"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负债合计</w:t>
            </w:r>
          </w:p>
          <w:p>
            <w:pPr>
              <w:widowControl/>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c>
          <w:tcPr>
            <w:tcW w:w="1550" w:type="dxa"/>
            <w:tcBorders>
              <w:top w:val="nil"/>
              <w:left w:val="nil"/>
              <w:bottom w:val="single" w:color="auto" w:sz="4" w:space="0"/>
              <w:right w:val="nil"/>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营业收入</w:t>
            </w:r>
          </w:p>
          <w:p>
            <w:pPr>
              <w:widowControl/>
              <w:ind w:left="57" w:right="57"/>
              <w:jc w:val="center"/>
              <w:rPr>
                <w:rFonts w:ascii="Times New Roman" w:hAnsi="Times New Roman"/>
                <w:b/>
                <w:bCs/>
                <w:kern w:val="0"/>
                <w:sz w:val="18"/>
                <w:szCs w:val="18"/>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337" w:hRule="atLeast"/>
          <w:jc w:val="center"/>
        </w:trPr>
        <w:tc>
          <w:tcPr>
            <w:tcW w:w="4141"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1549" w:type="dxa"/>
            <w:tcBorders>
              <w:top w:val="single" w:color="auto" w:sz="4" w:space="0"/>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12238.2</w:t>
            </w:r>
            <w:r>
              <w:rPr>
                <w:rFonts w:ascii="Times New Roman" w:hAnsi="Times New Roman"/>
                <w:sz w:val="20"/>
                <w:szCs w:val="20"/>
              </w:rPr>
              <w:t xml:space="preserve"> </w:t>
            </w:r>
          </w:p>
        </w:tc>
        <w:tc>
          <w:tcPr>
            <w:tcW w:w="1549" w:type="dxa"/>
            <w:tcBorders>
              <w:top w:val="single" w:color="auto" w:sz="4" w:space="0"/>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2154.5</w:t>
            </w:r>
            <w:r>
              <w:rPr>
                <w:rFonts w:ascii="Times New Roman" w:hAnsi="Times New Roman"/>
                <w:sz w:val="20"/>
                <w:szCs w:val="20"/>
              </w:rPr>
              <w:t xml:space="preserve"> </w:t>
            </w:r>
          </w:p>
        </w:tc>
        <w:tc>
          <w:tcPr>
            <w:tcW w:w="1550" w:type="dxa"/>
            <w:tcBorders>
              <w:top w:val="single" w:color="auto" w:sz="4" w:space="0"/>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4100.4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337" w:hRule="atLeast"/>
          <w:jc w:val="center"/>
        </w:trPr>
        <w:tc>
          <w:tcPr>
            <w:tcW w:w="4141"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研究和试验发展</w:t>
            </w:r>
          </w:p>
        </w:tc>
        <w:tc>
          <w:tcPr>
            <w:tcW w:w="1549"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278.0</w:t>
            </w:r>
            <w:r>
              <w:rPr>
                <w:rFonts w:ascii="Times New Roman" w:hAnsi="Times New Roman"/>
                <w:sz w:val="20"/>
                <w:szCs w:val="20"/>
              </w:rPr>
              <w:t xml:space="preserve"> </w:t>
            </w:r>
          </w:p>
        </w:tc>
        <w:tc>
          <w:tcPr>
            <w:tcW w:w="1549"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66.5</w:t>
            </w:r>
            <w:r>
              <w:rPr>
                <w:rFonts w:ascii="Times New Roman" w:hAnsi="Times New Roman"/>
                <w:sz w:val="20"/>
                <w:szCs w:val="20"/>
              </w:rPr>
              <w:t xml:space="preserve"> </w:t>
            </w:r>
          </w:p>
        </w:tc>
        <w:tc>
          <w:tcPr>
            <w:tcW w:w="1550" w:type="dxa"/>
            <w:tcBorders>
              <w:top w:val="nil"/>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301.7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337" w:hRule="atLeast"/>
          <w:jc w:val="center"/>
        </w:trPr>
        <w:tc>
          <w:tcPr>
            <w:tcW w:w="4141"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专业技术服务业</w:t>
            </w:r>
          </w:p>
        </w:tc>
        <w:tc>
          <w:tcPr>
            <w:tcW w:w="1549"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9822.3</w:t>
            </w:r>
            <w:r>
              <w:rPr>
                <w:rFonts w:ascii="Times New Roman" w:hAnsi="Times New Roman"/>
                <w:sz w:val="20"/>
                <w:szCs w:val="20"/>
              </w:rPr>
              <w:t xml:space="preserve"> </w:t>
            </w:r>
          </w:p>
        </w:tc>
        <w:tc>
          <w:tcPr>
            <w:tcW w:w="1549"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1794.3</w:t>
            </w:r>
          </w:p>
        </w:tc>
        <w:tc>
          <w:tcPr>
            <w:tcW w:w="1550" w:type="dxa"/>
            <w:tcBorders>
              <w:top w:val="nil"/>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1790.4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337" w:hRule="atLeast"/>
          <w:jc w:val="center"/>
        </w:trPr>
        <w:tc>
          <w:tcPr>
            <w:tcW w:w="4141" w:type="dxa"/>
            <w:tcBorders>
              <w:top w:val="nil"/>
              <w:left w:val="nil"/>
              <w:bottom w:val="single" w:color="auto" w:sz="12" w:space="0"/>
              <w:right w:val="single" w:color="auto" w:sz="4" w:space="0"/>
            </w:tcBorders>
            <w:vAlign w:val="center"/>
          </w:tcPr>
          <w:p>
            <w:pPr>
              <w:rPr>
                <w:rFonts w:ascii="Times New Roman" w:hAnsi="Times New Roman"/>
                <w:szCs w:val="21"/>
              </w:rPr>
            </w:pPr>
            <w:r>
              <w:rPr>
                <w:rFonts w:ascii="Times New Roman" w:hAnsi="Times New Roman"/>
                <w:kern w:val="0"/>
                <w:szCs w:val="24"/>
              </w:rPr>
              <w:t xml:space="preserve"> 科技推广和应用服务业</w:t>
            </w:r>
          </w:p>
        </w:tc>
        <w:tc>
          <w:tcPr>
            <w:tcW w:w="1549" w:type="dxa"/>
            <w:tcBorders>
              <w:top w:val="nil"/>
              <w:left w:val="nil"/>
              <w:bottom w:val="single" w:color="auto" w:sz="12" w:space="0"/>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2137.9</w:t>
            </w:r>
            <w:r>
              <w:rPr>
                <w:rFonts w:ascii="Times New Roman" w:hAnsi="Times New Roman"/>
                <w:sz w:val="20"/>
                <w:szCs w:val="20"/>
              </w:rPr>
              <w:t xml:space="preserve"> </w:t>
            </w:r>
          </w:p>
        </w:tc>
        <w:tc>
          <w:tcPr>
            <w:tcW w:w="1549" w:type="dxa"/>
            <w:tcBorders>
              <w:top w:val="nil"/>
              <w:left w:val="nil"/>
              <w:bottom w:val="single" w:color="auto" w:sz="12" w:space="0"/>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293.7</w:t>
            </w:r>
          </w:p>
        </w:tc>
        <w:tc>
          <w:tcPr>
            <w:tcW w:w="1550" w:type="dxa"/>
            <w:tcBorders>
              <w:top w:val="nil"/>
              <w:left w:val="nil"/>
              <w:bottom w:val="single" w:color="auto" w:sz="12" w:space="0"/>
              <w:right w:val="nil"/>
            </w:tcBorders>
            <w:vAlign w:val="top"/>
          </w:tcPr>
          <w:p>
            <w:pPr>
              <w:jc w:val="right"/>
              <w:rPr>
                <w:rFonts w:ascii="Times New Roman" w:hAnsi="Times New Roman"/>
                <w:sz w:val="20"/>
                <w:szCs w:val="20"/>
              </w:rPr>
            </w:pPr>
            <w:r>
              <w:rPr>
                <w:rFonts w:hint="eastAsia" w:ascii="Times New Roman" w:hAnsi="Times New Roman"/>
                <w:sz w:val="20"/>
                <w:szCs w:val="20"/>
              </w:rPr>
              <w:t>2008.3</w:t>
            </w:r>
          </w:p>
        </w:tc>
      </w:tr>
    </w:tbl>
    <w:p>
      <w:pPr>
        <w:spacing w:line="586"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二、水利、环境和公共设施管理业</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楷体_GB2312"/>
          <w:kern w:val="0"/>
          <w:sz w:val="32"/>
          <w:szCs w:val="32"/>
        </w:rPr>
        <w:t>（一）法人单位数和从业人员</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2018年末，全市共有水利、环境和公共设施管理业法人单位</w:t>
      </w:r>
      <w:r>
        <w:rPr>
          <w:rFonts w:hint="eastAsia" w:ascii="Times New Roman" w:hAnsi="Times New Roman" w:eastAsia="仿宋_GB2312"/>
          <w:kern w:val="0"/>
          <w:sz w:val="32"/>
          <w:szCs w:val="32"/>
          <w:lang w:val="en-US" w:eastAsia="zh-CN"/>
        </w:rPr>
        <w:t>37</w:t>
      </w:r>
      <w:r>
        <w:rPr>
          <w:rFonts w:ascii="Times New Roman" w:hAnsi="Times New Roman" w:eastAsia="仿宋_GB2312"/>
          <w:kern w:val="0"/>
          <w:sz w:val="32"/>
          <w:szCs w:val="32"/>
        </w:rPr>
        <w:t>个，从业人员</w:t>
      </w:r>
      <w:r>
        <w:rPr>
          <w:rFonts w:hint="eastAsia" w:ascii="Times New Roman" w:hAnsi="Times New Roman" w:eastAsia="仿宋_GB2312"/>
          <w:kern w:val="0"/>
          <w:sz w:val="32"/>
          <w:szCs w:val="32"/>
          <w:lang w:val="en-US" w:eastAsia="zh-CN"/>
        </w:rPr>
        <w:t>998</w:t>
      </w:r>
      <w:r>
        <w:rPr>
          <w:rFonts w:ascii="Times New Roman" w:hAnsi="Times New Roman" w:eastAsia="仿宋_GB2312"/>
          <w:kern w:val="0"/>
          <w:sz w:val="32"/>
          <w:szCs w:val="32"/>
        </w:rPr>
        <w:t>人，比2013年末</w:t>
      </w:r>
      <w:r>
        <w:rPr>
          <w:rFonts w:hint="eastAsia" w:ascii="Times New Roman" w:hAnsi="Times New Roman" w:eastAsia="仿宋_GB2312"/>
          <w:kern w:val="0"/>
          <w:sz w:val="32"/>
          <w:szCs w:val="32"/>
          <w:lang w:eastAsia="zh-CN"/>
        </w:rPr>
        <w:t>增长</w:t>
      </w:r>
      <w:r>
        <w:rPr>
          <w:rFonts w:hint="eastAsia" w:ascii="Times New Roman" w:hAnsi="Times New Roman" w:eastAsia="仿宋_GB2312"/>
          <w:kern w:val="0"/>
          <w:sz w:val="32"/>
          <w:szCs w:val="32"/>
          <w:lang w:val="en-US" w:eastAsia="zh-CN"/>
        </w:rPr>
        <w:t>19.4</w:t>
      </w:r>
      <w:r>
        <w:rPr>
          <w:rFonts w:ascii="Times New Roman" w:hAnsi="Times New Roman" w:eastAsia="仿宋_GB2312"/>
          <w:kern w:val="0"/>
          <w:sz w:val="32"/>
          <w:szCs w:val="32"/>
        </w:rPr>
        <w:t>%和下</w:t>
      </w:r>
      <w:r>
        <w:rPr>
          <w:rFonts w:hint="eastAsia" w:ascii="Times New Roman" w:hAnsi="Times New Roman" w:eastAsia="仿宋_GB2312"/>
          <w:kern w:val="0"/>
          <w:sz w:val="32"/>
          <w:szCs w:val="32"/>
          <w:lang w:eastAsia="zh-CN"/>
        </w:rPr>
        <w:t>降</w:t>
      </w:r>
      <w:r>
        <w:rPr>
          <w:rFonts w:hint="eastAsia" w:ascii="Times New Roman" w:hAnsi="Times New Roman" w:eastAsia="仿宋_GB2312"/>
          <w:kern w:val="0"/>
          <w:sz w:val="32"/>
          <w:szCs w:val="32"/>
          <w:lang w:val="en-US" w:eastAsia="zh-CN"/>
        </w:rPr>
        <w:t>28.0</w:t>
      </w:r>
      <w:r>
        <w:rPr>
          <w:rFonts w:ascii="Times New Roman" w:hAnsi="Times New Roman" w:eastAsia="仿宋_GB2312"/>
          <w:kern w:val="0"/>
          <w:sz w:val="32"/>
          <w:szCs w:val="32"/>
        </w:rPr>
        <w:t>%。其中，行政事业及非企业法人单位</w:t>
      </w:r>
      <w:r>
        <w:rPr>
          <w:rFonts w:hint="eastAsia" w:ascii="Times New Roman" w:hAnsi="Times New Roman" w:eastAsia="仿宋_GB2312"/>
          <w:kern w:val="0"/>
          <w:sz w:val="32"/>
          <w:szCs w:val="32"/>
        </w:rPr>
        <w:t xml:space="preserve"> 23</w:t>
      </w:r>
      <w:r>
        <w:rPr>
          <w:rFonts w:ascii="Times New Roman" w:hAnsi="Times New Roman" w:eastAsia="仿宋_GB2312"/>
          <w:kern w:val="0"/>
          <w:sz w:val="32"/>
          <w:szCs w:val="32"/>
        </w:rPr>
        <w:t>个，从业人员</w:t>
      </w:r>
      <w:r>
        <w:rPr>
          <w:rFonts w:hint="eastAsia" w:ascii="Times New Roman" w:hAnsi="Times New Roman" w:eastAsia="仿宋_GB2312"/>
          <w:sz w:val="32"/>
          <w:szCs w:val="32"/>
        </w:rPr>
        <w:t xml:space="preserve"> 303</w:t>
      </w:r>
      <w:r>
        <w:rPr>
          <w:rFonts w:ascii="Times New Roman" w:hAnsi="Times New Roman" w:eastAsia="仿宋_GB2312"/>
          <w:kern w:val="0"/>
          <w:sz w:val="32"/>
          <w:szCs w:val="32"/>
        </w:rPr>
        <w:t>人，比2013年末</w:t>
      </w:r>
      <w:r>
        <w:rPr>
          <w:rFonts w:hint="eastAsia" w:ascii="Times New Roman" w:hAnsi="Times New Roman" w:eastAsia="仿宋_GB2312"/>
          <w:kern w:val="0"/>
          <w:sz w:val="32"/>
          <w:szCs w:val="32"/>
          <w:lang w:eastAsia="zh-CN"/>
        </w:rPr>
        <w:t>增长</w:t>
      </w:r>
      <w:r>
        <w:rPr>
          <w:rFonts w:hint="eastAsia" w:ascii="Times New Roman" w:hAnsi="Times New Roman" w:eastAsia="仿宋_GB2312"/>
          <w:kern w:val="0"/>
          <w:sz w:val="32"/>
          <w:szCs w:val="32"/>
          <w:lang w:val="en-US" w:eastAsia="zh-CN"/>
        </w:rPr>
        <w:t>4.5</w:t>
      </w:r>
      <w:r>
        <w:rPr>
          <w:rFonts w:ascii="Times New Roman" w:hAnsi="Times New Roman" w:eastAsia="仿宋_GB2312"/>
          <w:kern w:val="0"/>
          <w:sz w:val="32"/>
          <w:szCs w:val="32"/>
        </w:rPr>
        <w:t>%和下降</w:t>
      </w:r>
      <w:r>
        <w:rPr>
          <w:rFonts w:hint="eastAsia" w:ascii="Times New Roman" w:hAnsi="Times New Roman" w:eastAsia="仿宋_GB2312"/>
          <w:kern w:val="0"/>
          <w:sz w:val="32"/>
          <w:szCs w:val="32"/>
          <w:lang w:val="en-US" w:eastAsia="zh-CN"/>
        </w:rPr>
        <w:t>66.3</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2018年末，水利、环境和公共设施管理业企业法人单位资产总计</w:t>
      </w:r>
      <w:r>
        <w:rPr>
          <w:rFonts w:hint="eastAsia" w:ascii="Times New Roman" w:hAnsi="Times New Roman" w:eastAsia="仿宋_GB2312"/>
          <w:kern w:val="0"/>
          <w:sz w:val="32"/>
          <w:szCs w:val="32"/>
          <w:lang w:val="en-US" w:eastAsia="zh-CN"/>
        </w:rPr>
        <w:t>108804.2</w:t>
      </w:r>
      <w:r>
        <w:rPr>
          <w:rFonts w:hint="eastAsia" w:ascii="Times New Roman" w:hAnsi="Times New Roman" w:eastAsia="仿宋_GB2312"/>
          <w:kern w:val="0"/>
          <w:sz w:val="32"/>
          <w:szCs w:val="32"/>
        </w:rPr>
        <w:t>万</w:t>
      </w:r>
      <w:r>
        <w:rPr>
          <w:rFonts w:ascii="Times New Roman" w:hAnsi="Times New Roman" w:eastAsia="仿宋_GB2312"/>
          <w:kern w:val="0"/>
          <w:sz w:val="32"/>
          <w:szCs w:val="32"/>
        </w:rPr>
        <w:t>元，比2013年末增长</w:t>
      </w:r>
      <w:r>
        <w:rPr>
          <w:rFonts w:hint="eastAsia" w:ascii="Times New Roman" w:hAnsi="Times New Roman" w:eastAsia="仿宋_GB2312"/>
          <w:kern w:val="0"/>
          <w:sz w:val="32"/>
          <w:szCs w:val="32"/>
          <w:lang w:val="en-US" w:eastAsia="zh-CN"/>
        </w:rPr>
        <w:t>362.9</w:t>
      </w:r>
      <w:r>
        <w:rPr>
          <w:rFonts w:ascii="Times New Roman" w:hAnsi="Times New Roman" w:eastAsia="仿宋_GB2312"/>
          <w:kern w:val="0"/>
          <w:sz w:val="32"/>
          <w:szCs w:val="32"/>
        </w:rPr>
        <w:t>%。负债合计</w:t>
      </w:r>
      <w:r>
        <w:rPr>
          <w:rFonts w:hint="eastAsia" w:ascii="Times New Roman" w:hAnsi="Times New Roman" w:eastAsia="仿宋_GB2312"/>
          <w:kern w:val="0"/>
          <w:sz w:val="32"/>
          <w:szCs w:val="32"/>
          <w:lang w:val="en-US" w:eastAsia="zh-CN"/>
        </w:rPr>
        <w:t>20372.9</w:t>
      </w:r>
      <w:r>
        <w:rPr>
          <w:rFonts w:hint="eastAsia" w:ascii="Times New Roman" w:hAnsi="Times New Roman" w:eastAsia="仿宋_GB2312"/>
          <w:kern w:val="0"/>
          <w:sz w:val="32"/>
          <w:szCs w:val="32"/>
        </w:rPr>
        <w:t>万</w:t>
      </w:r>
      <w:r>
        <w:rPr>
          <w:rFonts w:ascii="Times New Roman" w:hAnsi="Times New Roman" w:eastAsia="仿宋_GB2312"/>
          <w:kern w:val="0"/>
          <w:sz w:val="32"/>
          <w:szCs w:val="32"/>
        </w:rPr>
        <w:t>元。全年实现营业收入</w:t>
      </w:r>
      <w:r>
        <w:rPr>
          <w:rFonts w:hint="eastAsia" w:ascii="Times New Roman" w:hAnsi="Times New Roman" w:eastAsia="仿宋_GB2312"/>
          <w:sz w:val="32"/>
          <w:szCs w:val="32"/>
          <w:lang w:val="en-US" w:eastAsia="zh-CN"/>
        </w:rPr>
        <w:t>17155.7</w:t>
      </w:r>
      <w:r>
        <w:rPr>
          <w:rFonts w:hint="eastAsia" w:ascii="Times New Roman" w:hAnsi="Times New Roman" w:eastAsia="仿宋_GB2312"/>
          <w:sz w:val="32"/>
          <w:szCs w:val="32"/>
        </w:rPr>
        <w:t>万</w:t>
      </w:r>
      <w:r>
        <w:rPr>
          <w:rFonts w:ascii="Times New Roman" w:hAnsi="Times New Roman" w:eastAsia="仿宋_GB2312"/>
          <w:kern w:val="0"/>
          <w:sz w:val="32"/>
          <w:szCs w:val="32"/>
        </w:rPr>
        <w:t xml:space="preserve">元。 </w:t>
      </w:r>
      <w:r>
        <w:rPr>
          <w:rFonts w:ascii="Times New Roman" w:hAnsi="Times New Roman" w:eastAsia="仿宋_GB2312"/>
          <w:kern w:val="0"/>
          <w:sz w:val="32"/>
          <w:szCs w:val="32"/>
        </w:rPr>
        <w:tab/>
      </w:r>
      <w:r>
        <w:rPr>
          <w:rFonts w:ascii="Times New Roman" w:hAnsi="Times New Roman" w:eastAsia="仿宋_GB2312"/>
          <w:kern w:val="0"/>
          <w:sz w:val="32"/>
          <w:szCs w:val="32"/>
        </w:rPr>
        <w:t xml:space="preserve">  </w:t>
      </w:r>
    </w:p>
    <w:p>
      <w:pPr>
        <w:widowControl/>
        <w:spacing w:line="586" w:lineRule="exact"/>
        <w:ind w:firstLine="640" w:firstLineChars="200"/>
        <w:rPr>
          <w:rFonts w:ascii="Times New Roman" w:hAnsi="Times New Roman" w:eastAsia="仿宋_GB2312"/>
          <w:color w:val="FF0000"/>
          <w:kern w:val="0"/>
          <w:sz w:val="32"/>
          <w:szCs w:val="32"/>
        </w:rPr>
      </w:pPr>
      <w:r>
        <w:rPr>
          <w:rFonts w:ascii="Times New Roman" w:hAnsi="Times New Roman" w:eastAsia="仿宋_GB2312"/>
          <w:color w:val="4BACC6"/>
          <w:kern w:val="0"/>
          <w:sz w:val="32"/>
          <w:szCs w:val="32"/>
        </w:rPr>
        <w:tab/>
      </w:r>
      <w:r>
        <w:rPr>
          <w:rFonts w:ascii="Times New Roman" w:hAnsi="Times New Roman" w:eastAsia="仿宋_GB2312"/>
          <w:color w:val="auto"/>
          <w:kern w:val="0"/>
          <w:sz w:val="32"/>
          <w:szCs w:val="32"/>
        </w:rPr>
        <w:t>行政事业及非企业法人单位年末资产</w:t>
      </w:r>
      <w:r>
        <w:rPr>
          <w:rFonts w:hint="eastAsia" w:ascii="Times New Roman" w:hAnsi="Times New Roman" w:eastAsia="仿宋_GB2312"/>
          <w:color w:val="auto"/>
          <w:kern w:val="0"/>
          <w:sz w:val="32"/>
          <w:szCs w:val="32"/>
          <w:lang w:val="en-US" w:eastAsia="zh-CN"/>
        </w:rPr>
        <w:t>10269.3</w:t>
      </w:r>
      <w:r>
        <w:rPr>
          <w:rFonts w:hint="eastAsia" w:ascii="Times New Roman" w:hAnsi="Times New Roman" w:eastAsia="仿宋_GB2312"/>
          <w:color w:val="auto"/>
          <w:kern w:val="0"/>
          <w:sz w:val="32"/>
          <w:szCs w:val="32"/>
        </w:rPr>
        <w:t>万</w:t>
      </w:r>
      <w:r>
        <w:rPr>
          <w:rFonts w:ascii="Times New Roman" w:hAnsi="Times New Roman" w:eastAsia="仿宋_GB2312"/>
          <w:color w:val="auto"/>
          <w:kern w:val="0"/>
          <w:sz w:val="32"/>
          <w:szCs w:val="32"/>
        </w:rPr>
        <w:t>元</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本年支出（费用）合计</w:t>
      </w:r>
      <w:r>
        <w:rPr>
          <w:rFonts w:hint="eastAsia" w:ascii="Times New Roman" w:hAnsi="Times New Roman" w:eastAsia="仿宋_GB2312"/>
          <w:color w:val="auto"/>
          <w:sz w:val="32"/>
          <w:szCs w:val="32"/>
          <w:lang w:val="en-US" w:eastAsia="zh-CN"/>
        </w:rPr>
        <w:t>8426.6万</w:t>
      </w:r>
      <w:r>
        <w:rPr>
          <w:rFonts w:ascii="Times New Roman" w:hAnsi="Times New Roman" w:eastAsia="仿宋_GB2312"/>
          <w:color w:val="auto"/>
          <w:kern w:val="0"/>
          <w:sz w:val="32"/>
          <w:szCs w:val="32"/>
        </w:rPr>
        <w:t>元。</w:t>
      </w:r>
    </w:p>
    <w:p>
      <w:pPr>
        <w:spacing w:line="586"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三、居民服务、修理和其他服务业</w:t>
      </w:r>
    </w:p>
    <w:p>
      <w:pPr>
        <w:widowControl/>
        <w:spacing w:line="586"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（一）企业法人单位数和从业人员</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2018年末，全市共有居民服务、修理和其他服务业企业法人单位</w:t>
      </w:r>
      <w:r>
        <w:rPr>
          <w:rFonts w:hint="eastAsia" w:ascii="Times New Roman" w:hAnsi="Times New Roman" w:eastAsia="仿宋_GB2312"/>
          <w:sz w:val="32"/>
          <w:szCs w:val="32"/>
        </w:rPr>
        <w:t>25</w:t>
      </w:r>
      <w:r>
        <w:rPr>
          <w:rFonts w:ascii="Times New Roman" w:hAnsi="Times New Roman" w:eastAsia="仿宋_GB2312"/>
          <w:kern w:val="0"/>
          <w:sz w:val="32"/>
          <w:szCs w:val="32"/>
        </w:rPr>
        <w:t>个，从业人员</w:t>
      </w:r>
      <w:r>
        <w:rPr>
          <w:rFonts w:hint="eastAsia" w:ascii="Times New Roman" w:hAnsi="Times New Roman" w:eastAsia="仿宋_GB2312"/>
          <w:sz w:val="32"/>
          <w:szCs w:val="32"/>
        </w:rPr>
        <w:t>273</w:t>
      </w:r>
      <w:r>
        <w:rPr>
          <w:rFonts w:ascii="Times New Roman" w:hAnsi="Times New Roman" w:eastAsia="仿宋_GB2312"/>
          <w:kern w:val="0"/>
          <w:sz w:val="32"/>
          <w:szCs w:val="32"/>
        </w:rPr>
        <w:t>人，比2013年末增长</w:t>
      </w:r>
      <w:r>
        <w:rPr>
          <w:rFonts w:hint="eastAsia" w:ascii="Times New Roman" w:hAnsi="Times New Roman" w:eastAsia="仿宋_GB2312"/>
          <w:kern w:val="0"/>
          <w:sz w:val="32"/>
          <w:szCs w:val="32"/>
          <w:lang w:val="en-US" w:eastAsia="zh-CN"/>
        </w:rPr>
        <w:t>66.7</w:t>
      </w:r>
      <w:r>
        <w:rPr>
          <w:rFonts w:ascii="Times New Roman" w:hAnsi="Times New Roman" w:eastAsia="仿宋_GB2312"/>
          <w:kern w:val="0"/>
          <w:sz w:val="32"/>
          <w:szCs w:val="32"/>
        </w:rPr>
        <w:t>%和</w:t>
      </w:r>
      <w:r>
        <w:rPr>
          <w:rFonts w:hint="eastAsia" w:ascii="Times New Roman" w:hAnsi="Times New Roman" w:eastAsia="仿宋_GB2312"/>
          <w:kern w:val="0"/>
          <w:sz w:val="32"/>
          <w:szCs w:val="32"/>
          <w:lang w:eastAsia="zh-CN"/>
        </w:rPr>
        <w:t>下降</w:t>
      </w:r>
      <w:r>
        <w:rPr>
          <w:rFonts w:hint="eastAsia" w:ascii="Times New Roman" w:hAnsi="Times New Roman" w:eastAsia="仿宋_GB2312"/>
          <w:kern w:val="0"/>
          <w:sz w:val="32"/>
          <w:szCs w:val="32"/>
          <w:lang w:val="en-US" w:eastAsia="zh-CN"/>
        </w:rPr>
        <w:t>1.1</w:t>
      </w:r>
      <w:r>
        <w:rPr>
          <w:rFonts w:ascii="Times New Roman" w:hAnsi="Times New Roman" w:eastAsia="仿宋_GB2312"/>
          <w:kern w:val="0"/>
          <w:sz w:val="32"/>
          <w:szCs w:val="32"/>
        </w:rPr>
        <w:t>%（详见表5-4）。</w:t>
      </w:r>
    </w:p>
    <w:tbl>
      <w:tblPr>
        <w:tblStyle w:val="3"/>
        <w:tblW w:w="874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693"/>
        <w:gridCol w:w="2551"/>
        <w:gridCol w:w="24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7" w:hRule="atLeast"/>
          <w:jc w:val="center"/>
        </w:trPr>
        <w:tc>
          <w:tcPr>
            <w:tcW w:w="8744" w:type="dxa"/>
            <w:gridSpan w:val="4"/>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kern w:val="0"/>
                <w:sz w:val="24"/>
                <w:szCs w:val="24"/>
              </w:rPr>
            </w:pPr>
            <w:r>
              <w:rPr>
                <w:rFonts w:ascii="Times New Roman" w:hAnsi="Times New Roman"/>
                <w:b/>
                <w:bCs/>
                <w:kern w:val="0"/>
                <w:sz w:val="24"/>
                <w:szCs w:val="24"/>
              </w:rPr>
              <w:t>表5-4 按行业大类分组的居民服务、修理和其他服务业企业法人单位和从业人员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3700" w:type="dxa"/>
            <w:gridSpan w:val="2"/>
            <w:tcBorders>
              <w:top w:val="nil"/>
              <w:left w:val="nil"/>
              <w:bottom w:val="single" w:color="auto" w:sz="4" w:space="0"/>
              <w:right w:val="single" w:color="auto" w:sz="4" w:space="0"/>
            </w:tcBorders>
            <w:vAlign w:val="center"/>
          </w:tcPr>
          <w:p>
            <w:pPr>
              <w:widowControl/>
              <w:ind w:left="57" w:right="57"/>
              <w:jc w:val="center"/>
              <w:rPr>
                <w:rFonts w:ascii="Times New Roman" w:hAnsi="Times New Roman"/>
                <w:kern w:val="0"/>
                <w:sz w:val="18"/>
                <w:szCs w:val="18"/>
              </w:rPr>
            </w:pPr>
            <w:r>
              <w:rPr>
                <w:rFonts w:ascii="Times New Roman" w:hAnsi="Times New Roman"/>
                <w:kern w:val="0"/>
                <w:szCs w:val="24"/>
              </w:rPr>
              <w:t> </w:t>
            </w:r>
          </w:p>
        </w:tc>
        <w:tc>
          <w:tcPr>
            <w:tcW w:w="2551"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企业法人单位</w:t>
            </w:r>
          </w:p>
          <w:p>
            <w:pPr>
              <w:widowControl/>
              <w:ind w:left="57" w:right="57"/>
              <w:jc w:val="center"/>
              <w:rPr>
                <w:rFonts w:ascii="Times New Roman" w:hAnsi="Times New Roman"/>
                <w:b/>
                <w:bCs/>
                <w:kern w:val="0"/>
                <w:sz w:val="18"/>
                <w:szCs w:val="18"/>
              </w:rPr>
            </w:pPr>
            <w:r>
              <w:rPr>
                <w:rFonts w:ascii="Times New Roman" w:hAnsi="Times New Roman"/>
                <w:b/>
                <w:bCs/>
                <w:kern w:val="0"/>
                <w:szCs w:val="24"/>
              </w:rPr>
              <w:t>（个）</w:t>
            </w:r>
          </w:p>
        </w:tc>
        <w:tc>
          <w:tcPr>
            <w:tcW w:w="2493" w:type="dxa"/>
            <w:tcBorders>
              <w:top w:val="nil"/>
              <w:left w:val="nil"/>
              <w:bottom w:val="single" w:color="auto" w:sz="4" w:space="0"/>
              <w:right w:val="nil"/>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从业人员</w:t>
            </w:r>
          </w:p>
          <w:p>
            <w:pPr>
              <w:widowControl/>
              <w:ind w:left="57" w:right="57"/>
              <w:jc w:val="center"/>
              <w:rPr>
                <w:rFonts w:ascii="Times New Roman" w:hAnsi="Times New Roman"/>
                <w:b/>
                <w:bCs/>
                <w:kern w:val="0"/>
                <w:sz w:val="18"/>
                <w:szCs w:val="18"/>
              </w:rPr>
            </w:pPr>
            <w:r>
              <w:rPr>
                <w:rFonts w:ascii="Times New Roman" w:hAnsi="Times New Roman"/>
                <w:b/>
                <w:bCs/>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693"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2551" w:type="dxa"/>
            <w:tcBorders>
              <w:top w:val="single" w:color="auto" w:sz="4" w:space="0"/>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25</w:t>
            </w:r>
          </w:p>
        </w:tc>
        <w:tc>
          <w:tcPr>
            <w:tcW w:w="2493" w:type="dxa"/>
            <w:tcBorders>
              <w:top w:val="single" w:color="auto" w:sz="4" w:space="0"/>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693"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居民服务业</w:t>
            </w:r>
          </w:p>
        </w:tc>
        <w:tc>
          <w:tcPr>
            <w:tcW w:w="2551"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10</w:t>
            </w:r>
          </w:p>
        </w:tc>
        <w:tc>
          <w:tcPr>
            <w:tcW w:w="2493"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55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693"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机动车、电子产品和日用产品修理业</w:t>
            </w:r>
          </w:p>
        </w:tc>
        <w:tc>
          <w:tcPr>
            <w:tcW w:w="2551"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10</w:t>
            </w:r>
          </w:p>
        </w:tc>
        <w:tc>
          <w:tcPr>
            <w:tcW w:w="2493"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454" w:hRule="atLeast"/>
          <w:jc w:val="center"/>
        </w:trPr>
        <w:tc>
          <w:tcPr>
            <w:tcW w:w="3693" w:type="dxa"/>
            <w:tcBorders>
              <w:top w:val="nil"/>
              <w:left w:val="nil"/>
              <w:bottom w:val="single" w:color="auto" w:sz="12" w:space="0"/>
              <w:right w:val="single" w:color="auto" w:sz="4" w:space="0"/>
            </w:tcBorders>
            <w:vAlign w:val="center"/>
          </w:tcPr>
          <w:p>
            <w:pPr>
              <w:rPr>
                <w:rFonts w:ascii="Times New Roman" w:hAnsi="Times New Roman"/>
                <w:szCs w:val="21"/>
              </w:rPr>
            </w:pPr>
            <w:r>
              <w:rPr>
                <w:rFonts w:ascii="Times New Roman" w:hAnsi="Times New Roman"/>
                <w:kern w:val="0"/>
                <w:szCs w:val="24"/>
              </w:rPr>
              <w:t xml:space="preserve"> 其他服务业</w:t>
            </w:r>
          </w:p>
        </w:tc>
        <w:tc>
          <w:tcPr>
            <w:tcW w:w="2551" w:type="dxa"/>
            <w:tcBorders>
              <w:top w:val="nil"/>
              <w:left w:val="nil"/>
              <w:bottom w:val="single" w:color="auto" w:sz="12" w:space="0"/>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5</w:t>
            </w:r>
          </w:p>
        </w:tc>
        <w:tc>
          <w:tcPr>
            <w:tcW w:w="2493" w:type="dxa"/>
            <w:tcBorders>
              <w:top w:val="nil"/>
              <w:left w:val="nil"/>
              <w:bottom w:val="single" w:color="auto" w:sz="12" w:space="0"/>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104</w:t>
            </w:r>
          </w:p>
        </w:tc>
      </w:tr>
    </w:tbl>
    <w:p>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在居民服务、修理和其他服务业企业法人单位中，内资企业占</w:t>
      </w:r>
      <w:r>
        <w:rPr>
          <w:rFonts w:hint="eastAsia" w:ascii="Times New Roman" w:hAnsi="Times New Roman" w:eastAsia="仿宋_GB2312"/>
          <w:kern w:val="0"/>
          <w:sz w:val="32"/>
          <w:szCs w:val="32"/>
        </w:rPr>
        <w:t>100</w:t>
      </w:r>
      <w:r>
        <w:rPr>
          <w:rFonts w:ascii="Times New Roman" w:hAnsi="Times New Roman" w:eastAsia="仿宋_GB2312"/>
          <w:kern w:val="0"/>
          <w:sz w:val="32"/>
          <w:szCs w:val="32"/>
        </w:rPr>
        <w:t>%，港、澳、台商投资企业占</w:t>
      </w:r>
      <w:r>
        <w:rPr>
          <w:rFonts w:hint="eastAsia" w:ascii="Times New Roman" w:hAnsi="Times New Roman" w:eastAsia="仿宋_GB2312"/>
          <w:sz w:val="32"/>
          <w:szCs w:val="32"/>
        </w:rPr>
        <w:t>0</w:t>
      </w:r>
      <w:r>
        <w:rPr>
          <w:rFonts w:ascii="Times New Roman" w:hAnsi="Times New Roman" w:eastAsia="仿宋_GB2312"/>
          <w:kern w:val="0"/>
          <w:sz w:val="32"/>
          <w:szCs w:val="32"/>
        </w:rPr>
        <w:t>%，外商投资企业占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在居民服务、修理和其他服务业企业法人单位从业人员中，内资企业占</w:t>
      </w:r>
      <w:r>
        <w:rPr>
          <w:rFonts w:hint="eastAsia" w:ascii="Times New Roman" w:hAnsi="Times New Roman" w:eastAsia="仿宋_GB2312"/>
          <w:kern w:val="0"/>
          <w:sz w:val="32"/>
          <w:szCs w:val="32"/>
        </w:rPr>
        <w:t>100</w:t>
      </w:r>
      <w:r>
        <w:rPr>
          <w:rFonts w:ascii="Times New Roman" w:hAnsi="Times New Roman" w:eastAsia="仿宋_GB2312"/>
          <w:kern w:val="0"/>
          <w:sz w:val="32"/>
          <w:szCs w:val="32"/>
        </w:rPr>
        <w:t>%，港、澳、台商投资企业占0</w:t>
      </w:r>
      <w:bookmarkStart w:id="0" w:name="_GoBack"/>
      <w:bookmarkEnd w:id="0"/>
      <w:r>
        <w:rPr>
          <w:rFonts w:ascii="Times New Roman" w:hAnsi="Times New Roman" w:eastAsia="仿宋_GB2312"/>
          <w:kern w:val="0"/>
          <w:sz w:val="32"/>
          <w:szCs w:val="32"/>
        </w:rPr>
        <w:t>%，外商投资企业占</w:t>
      </w:r>
      <w:r>
        <w:rPr>
          <w:rFonts w:hint="eastAsia" w:ascii="Times New Roman" w:hAnsi="Times New Roman" w:eastAsia="仿宋_GB2312"/>
          <w:kern w:val="0"/>
          <w:sz w:val="32"/>
          <w:szCs w:val="32"/>
        </w:rPr>
        <w:t>0</w:t>
      </w:r>
      <w:r>
        <w:rPr>
          <w:rFonts w:ascii="Times New Roman" w:hAnsi="Times New Roman" w:eastAsia="仿宋_GB2312"/>
          <w:kern w:val="0"/>
          <w:sz w:val="32"/>
          <w:szCs w:val="32"/>
        </w:rPr>
        <w:t>%（详见表5-5）。</w:t>
      </w:r>
    </w:p>
    <w:tbl>
      <w:tblPr>
        <w:tblStyle w:val="3"/>
        <w:tblW w:w="884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3432"/>
        <w:gridCol w:w="3006"/>
        <w:gridCol w:w="24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15" w:hRule="atLeast"/>
          <w:jc w:val="center"/>
        </w:trPr>
        <w:tc>
          <w:tcPr>
            <w:tcW w:w="8845" w:type="dxa"/>
            <w:gridSpan w:val="4"/>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表5-5 按登记注册类型分组的居民服务、修理和其他服务业</w:t>
            </w:r>
          </w:p>
          <w:p>
            <w:pPr>
              <w:widowControl/>
              <w:ind w:left="57" w:right="57"/>
              <w:jc w:val="center"/>
              <w:rPr>
                <w:rFonts w:ascii="Times New Roman" w:hAnsi="Times New Roman"/>
                <w:kern w:val="0"/>
                <w:sz w:val="24"/>
                <w:szCs w:val="24"/>
              </w:rPr>
            </w:pPr>
            <w:r>
              <w:rPr>
                <w:rFonts w:ascii="Times New Roman" w:hAnsi="Times New Roman"/>
                <w:b/>
                <w:bCs/>
                <w:kern w:val="0"/>
                <w:sz w:val="24"/>
                <w:szCs w:val="24"/>
              </w:rPr>
              <w:t>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44" w:hRule="atLeast"/>
          <w:jc w:val="center"/>
        </w:trPr>
        <w:tc>
          <w:tcPr>
            <w:tcW w:w="3439" w:type="dxa"/>
            <w:gridSpan w:val="2"/>
            <w:tcBorders>
              <w:top w:val="nil"/>
              <w:left w:val="nil"/>
              <w:bottom w:val="single" w:color="auto" w:sz="4" w:space="0"/>
              <w:right w:val="single" w:color="auto" w:sz="4" w:space="0"/>
            </w:tcBorders>
            <w:vAlign w:val="center"/>
          </w:tcPr>
          <w:p>
            <w:pPr>
              <w:widowControl/>
              <w:jc w:val="left"/>
              <w:rPr>
                <w:rFonts w:ascii="Times New Roman" w:hAnsi="Times New Roman"/>
                <w:b/>
                <w:bCs/>
                <w:kern w:val="0"/>
                <w:sz w:val="24"/>
                <w:szCs w:val="24"/>
              </w:rPr>
            </w:pPr>
            <w:r>
              <w:rPr>
                <w:rFonts w:ascii="Times New Roman" w:hAnsi="Times New Roman"/>
                <w:b/>
                <w:bCs/>
                <w:kern w:val="0"/>
                <w:sz w:val="24"/>
                <w:szCs w:val="24"/>
              </w:rPr>
              <w:t> </w:t>
            </w:r>
          </w:p>
        </w:tc>
        <w:tc>
          <w:tcPr>
            <w:tcW w:w="3006"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企业法人单位</w:t>
            </w:r>
          </w:p>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(个)</w:t>
            </w:r>
          </w:p>
        </w:tc>
        <w:tc>
          <w:tcPr>
            <w:tcW w:w="2400" w:type="dxa"/>
            <w:tcBorders>
              <w:top w:val="nil"/>
              <w:left w:val="nil"/>
              <w:bottom w:val="single" w:color="auto" w:sz="4" w:space="0"/>
              <w:right w:val="nil"/>
            </w:tcBorders>
            <w:vAlign w:val="center"/>
          </w:tcPr>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从业人员</w:t>
            </w:r>
          </w:p>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3006" w:type="dxa"/>
            <w:tcBorders>
              <w:top w:val="single" w:color="auto" w:sz="4" w:space="0"/>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25</w:t>
            </w:r>
          </w:p>
        </w:tc>
        <w:tc>
          <w:tcPr>
            <w:tcW w:w="2400" w:type="dxa"/>
            <w:tcBorders>
              <w:top w:val="single" w:color="auto" w:sz="4" w:space="0"/>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内资企业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25</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国有企业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集体企业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股份合作企业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联营企业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有限责任公司</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股份有限公司</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1</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私营企业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20</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234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kern w:val="0"/>
                <w:sz w:val="18"/>
                <w:szCs w:val="18"/>
              </w:rPr>
            </w:pPr>
            <w:r>
              <w:rPr>
                <w:rFonts w:ascii="Times New Roman" w:hAnsi="Times New Roman"/>
                <w:kern w:val="0"/>
                <w:szCs w:val="24"/>
              </w:rPr>
              <w:t xml:space="preserve">   其他企业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nil"/>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港、澳、台商投资企业</w:t>
            </w:r>
          </w:p>
        </w:tc>
        <w:tc>
          <w:tcPr>
            <w:tcW w:w="3006" w:type="dxa"/>
            <w:tcBorders>
              <w:top w:val="nil"/>
              <w:left w:val="nil"/>
              <w:bottom w:val="nil"/>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nil"/>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171" w:hRule="atLeast"/>
          <w:jc w:val="center"/>
        </w:trPr>
        <w:tc>
          <w:tcPr>
            <w:tcW w:w="3432" w:type="dxa"/>
            <w:tcBorders>
              <w:top w:val="nil"/>
              <w:left w:val="nil"/>
              <w:bottom w:val="single" w:color="auto" w:sz="12" w:space="0"/>
              <w:right w:val="single" w:color="auto" w:sz="4" w:space="0"/>
            </w:tcBorders>
            <w:vAlign w:val="center"/>
          </w:tcPr>
          <w:p>
            <w:pPr>
              <w:widowControl/>
              <w:ind w:left="57" w:right="57"/>
              <w:rPr>
                <w:rFonts w:ascii="Times New Roman" w:hAnsi="Times New Roman"/>
                <w:b/>
                <w:bCs/>
                <w:kern w:val="0"/>
                <w:sz w:val="18"/>
                <w:szCs w:val="18"/>
              </w:rPr>
            </w:pPr>
            <w:r>
              <w:rPr>
                <w:rFonts w:ascii="Times New Roman" w:hAnsi="Times New Roman"/>
                <w:b/>
                <w:bCs/>
                <w:kern w:val="0"/>
                <w:szCs w:val="24"/>
              </w:rPr>
              <w:t>外商投资企业</w:t>
            </w:r>
          </w:p>
        </w:tc>
        <w:tc>
          <w:tcPr>
            <w:tcW w:w="3006" w:type="dxa"/>
            <w:tcBorders>
              <w:top w:val="nil"/>
              <w:left w:val="nil"/>
              <w:bottom w:val="single" w:color="auto" w:sz="12" w:space="0"/>
              <w:right w:val="single" w:color="auto" w:sz="4" w:space="0"/>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c>
          <w:tcPr>
            <w:tcW w:w="2400" w:type="dxa"/>
            <w:tcBorders>
              <w:top w:val="nil"/>
              <w:left w:val="nil"/>
              <w:bottom w:val="single" w:color="auto" w:sz="12" w:space="0"/>
              <w:right w:val="nil"/>
            </w:tcBorders>
            <w:vAlign w:val="top"/>
          </w:tcPr>
          <w:p>
            <w:pPr>
              <w:jc w:val="right"/>
              <w:rPr>
                <w:rFonts w:ascii="Times New Roman" w:hAnsi="Times New Roman"/>
                <w:color w:val="000000"/>
                <w:sz w:val="20"/>
                <w:szCs w:val="20"/>
              </w:rPr>
            </w:pPr>
            <w:r>
              <w:rPr>
                <w:rFonts w:hint="eastAsia" w:ascii="Times New Roman" w:hAnsi="Times New Roman"/>
                <w:color w:val="000000"/>
                <w:sz w:val="20"/>
                <w:szCs w:val="20"/>
              </w:rPr>
              <w:t>-</w:t>
            </w:r>
          </w:p>
        </w:tc>
      </w:tr>
    </w:tbl>
    <w:p>
      <w:pPr>
        <w:widowControl/>
        <w:spacing w:line="586"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r>
        <w:rPr>
          <w:rFonts w:ascii="Times New Roman" w:hAnsi="Times New Roman" w:eastAsia="仿宋_GB2312"/>
          <w:kern w:val="0"/>
          <w:sz w:val="32"/>
          <w:szCs w:val="32"/>
        </w:rPr>
        <w:t>。</w:t>
      </w:r>
    </w:p>
    <w:p>
      <w:pPr>
        <w:widowControl/>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2018年末，居民服务、修理和其他服务业企业法人单位资产总计</w:t>
      </w:r>
      <w:r>
        <w:rPr>
          <w:rFonts w:hint="eastAsia" w:ascii="Times New Roman" w:hAnsi="Times New Roman" w:eastAsia="仿宋_GB2312"/>
          <w:kern w:val="0"/>
          <w:sz w:val="32"/>
          <w:szCs w:val="32"/>
        </w:rPr>
        <w:t>7163.6万</w:t>
      </w:r>
      <w:r>
        <w:rPr>
          <w:rFonts w:ascii="Times New Roman" w:hAnsi="Times New Roman" w:eastAsia="仿宋_GB2312"/>
          <w:kern w:val="0"/>
          <w:sz w:val="32"/>
          <w:szCs w:val="32"/>
        </w:rPr>
        <w:t>元，比2013年末增长</w:t>
      </w:r>
      <w:r>
        <w:rPr>
          <w:rFonts w:hint="eastAsia" w:ascii="Times New Roman" w:hAnsi="Times New Roman" w:eastAsia="仿宋_GB2312"/>
          <w:kern w:val="0"/>
          <w:sz w:val="32"/>
          <w:szCs w:val="32"/>
          <w:lang w:val="en-US" w:eastAsia="zh-CN"/>
        </w:rPr>
        <w:t>321.4</w:t>
      </w:r>
      <w:r>
        <w:rPr>
          <w:rFonts w:ascii="Times New Roman" w:hAnsi="Times New Roman" w:eastAsia="仿宋_GB2312"/>
          <w:kern w:val="0"/>
          <w:sz w:val="32"/>
          <w:szCs w:val="32"/>
        </w:rPr>
        <w:t>%。负债合计</w:t>
      </w:r>
      <w:r>
        <w:rPr>
          <w:rFonts w:hint="eastAsia" w:ascii="Times New Roman" w:hAnsi="Times New Roman" w:eastAsia="仿宋_GB2312"/>
          <w:sz w:val="32"/>
          <w:szCs w:val="32"/>
        </w:rPr>
        <w:t>1776.9万</w:t>
      </w:r>
      <w:r>
        <w:rPr>
          <w:rFonts w:ascii="Times New Roman" w:hAnsi="Times New Roman" w:eastAsia="仿宋_GB2312"/>
          <w:kern w:val="0"/>
          <w:sz w:val="32"/>
          <w:szCs w:val="32"/>
        </w:rPr>
        <w:t>元。全年实现营业收入</w:t>
      </w:r>
      <w:r>
        <w:rPr>
          <w:rFonts w:hint="eastAsia" w:ascii="Times New Roman" w:hAnsi="Times New Roman" w:eastAsia="仿宋_GB2312"/>
          <w:kern w:val="0"/>
          <w:sz w:val="32"/>
          <w:szCs w:val="32"/>
        </w:rPr>
        <w:t>1784.9万</w:t>
      </w:r>
      <w:r>
        <w:rPr>
          <w:rFonts w:ascii="Times New Roman" w:hAnsi="Times New Roman" w:eastAsia="仿宋_GB2312"/>
          <w:kern w:val="0"/>
          <w:sz w:val="32"/>
          <w:szCs w:val="32"/>
        </w:rPr>
        <w:t>元（详见表5-6）。</w:t>
      </w:r>
    </w:p>
    <w:tbl>
      <w:tblPr>
        <w:tblStyle w:val="3"/>
        <w:tblW w:w="9101" w:type="dxa"/>
        <w:tblInd w:w="1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82"/>
        <w:gridCol w:w="1605"/>
        <w:gridCol w:w="1605"/>
        <w:gridCol w:w="180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35" w:hRule="atLeast"/>
        </w:trPr>
        <w:tc>
          <w:tcPr>
            <w:tcW w:w="9101" w:type="dxa"/>
            <w:gridSpan w:val="4"/>
            <w:tcBorders>
              <w:top w:val="nil"/>
              <w:left w:val="nil"/>
              <w:bottom w:val="single" w:color="auto" w:sz="12" w:space="0"/>
              <w:right w:val="nil"/>
            </w:tcBorders>
            <w:shd w:val="clear" w:color="auto" w:fill="FFFFFF"/>
            <w:vAlign w:val="center"/>
          </w:tcPr>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表5-6 按行业大类分组的居民服务、修理和其他服务业</w:t>
            </w:r>
          </w:p>
          <w:p>
            <w:pPr>
              <w:widowControl/>
              <w:ind w:left="57" w:right="57"/>
              <w:jc w:val="center"/>
              <w:rPr>
                <w:rFonts w:ascii="Times New Roman" w:hAnsi="Times New Roman"/>
                <w:b/>
                <w:bCs/>
                <w:kern w:val="0"/>
                <w:sz w:val="24"/>
                <w:szCs w:val="24"/>
              </w:rPr>
            </w:pPr>
            <w:r>
              <w:rPr>
                <w:rFonts w:ascii="Times New Roman" w:hAnsi="Times New Roman"/>
                <w:b/>
                <w:bCs/>
                <w:kern w:val="0"/>
                <w:sz w:val="24"/>
                <w:szCs w:val="24"/>
              </w:rPr>
              <w:t>企业法人单位主要经济指标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23" w:hRule="atLeast"/>
        </w:trPr>
        <w:tc>
          <w:tcPr>
            <w:tcW w:w="4082" w:type="dxa"/>
            <w:tcBorders>
              <w:top w:val="nil"/>
              <w:left w:val="nil"/>
              <w:bottom w:val="single" w:color="auto" w:sz="4" w:space="0"/>
              <w:right w:val="single" w:color="auto" w:sz="4" w:space="0"/>
            </w:tcBorders>
            <w:vAlign w:val="center"/>
          </w:tcPr>
          <w:p>
            <w:pPr>
              <w:widowControl/>
              <w:ind w:left="57" w:right="57" w:firstLine="500"/>
              <w:jc w:val="center"/>
              <w:rPr>
                <w:rFonts w:ascii="Times New Roman" w:hAnsi="Times New Roman"/>
                <w:b/>
                <w:bCs/>
                <w:kern w:val="0"/>
                <w:sz w:val="18"/>
                <w:szCs w:val="18"/>
              </w:rPr>
            </w:pPr>
            <w:r>
              <w:rPr>
                <w:rFonts w:ascii="Times New Roman" w:hAnsi="Times New Roman"/>
                <w:b/>
                <w:bCs/>
                <w:kern w:val="0"/>
                <w:szCs w:val="24"/>
              </w:rPr>
              <w:t>　</w:t>
            </w:r>
          </w:p>
        </w:tc>
        <w:tc>
          <w:tcPr>
            <w:tcW w:w="1605"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资产总计</w:t>
            </w:r>
          </w:p>
          <w:p>
            <w:pPr>
              <w:widowControl/>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c>
          <w:tcPr>
            <w:tcW w:w="1605" w:type="dxa"/>
            <w:tcBorders>
              <w:top w:val="nil"/>
              <w:left w:val="nil"/>
              <w:bottom w:val="single" w:color="auto" w:sz="4" w:space="0"/>
              <w:right w:val="single" w:color="auto" w:sz="4" w:space="0"/>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负债合计</w:t>
            </w:r>
          </w:p>
          <w:p>
            <w:pPr>
              <w:widowControl/>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c>
          <w:tcPr>
            <w:tcW w:w="1809" w:type="dxa"/>
            <w:tcBorders>
              <w:top w:val="nil"/>
              <w:left w:val="nil"/>
              <w:bottom w:val="single" w:color="auto" w:sz="4" w:space="0"/>
              <w:right w:val="nil"/>
            </w:tcBorders>
            <w:vAlign w:val="center"/>
          </w:tcPr>
          <w:p>
            <w:pPr>
              <w:widowControl/>
              <w:ind w:left="57" w:right="57"/>
              <w:jc w:val="center"/>
              <w:rPr>
                <w:rFonts w:ascii="Times New Roman" w:hAnsi="Times New Roman"/>
                <w:b/>
                <w:bCs/>
                <w:kern w:val="0"/>
                <w:szCs w:val="21"/>
              </w:rPr>
            </w:pPr>
            <w:r>
              <w:rPr>
                <w:rFonts w:ascii="Times New Roman" w:hAnsi="Times New Roman"/>
                <w:b/>
                <w:bCs/>
                <w:kern w:val="0"/>
                <w:szCs w:val="24"/>
              </w:rPr>
              <w:t>营业收入</w:t>
            </w:r>
          </w:p>
          <w:p>
            <w:pPr>
              <w:widowControl/>
              <w:ind w:left="57" w:right="57"/>
              <w:jc w:val="center"/>
              <w:rPr>
                <w:rFonts w:ascii="Times New Roman" w:hAnsi="Times New Roman"/>
                <w:b/>
                <w:bCs/>
                <w:kern w:val="0"/>
                <w:sz w:val="18"/>
                <w:szCs w:val="18"/>
              </w:rPr>
            </w:pPr>
            <w:r>
              <w:rPr>
                <w:rFonts w:ascii="Times New Roman" w:hAnsi="Times New Roman"/>
                <w:b/>
                <w:bCs/>
                <w:kern w:val="0"/>
                <w:szCs w:val="24"/>
              </w:rPr>
              <w:t>（</w:t>
            </w:r>
            <w:r>
              <w:rPr>
                <w:rFonts w:hint="eastAsia" w:ascii="Times New Roman" w:hAnsi="Times New Roman"/>
                <w:b/>
                <w:bCs/>
                <w:kern w:val="0"/>
                <w:szCs w:val="24"/>
              </w:rPr>
              <w:t>万</w:t>
            </w:r>
            <w:r>
              <w:rPr>
                <w:rFonts w:ascii="Times New Roman" w:hAnsi="Times New Roman"/>
                <w:b/>
                <w:bCs/>
                <w:kern w:val="0"/>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4082" w:type="dxa"/>
            <w:tcBorders>
              <w:top w:val="single" w:color="auto" w:sz="4" w:space="0"/>
              <w:left w:val="nil"/>
              <w:bottom w:val="nil"/>
              <w:right w:val="single" w:color="auto" w:sz="4" w:space="0"/>
            </w:tcBorders>
            <w:vAlign w:val="center"/>
          </w:tcPr>
          <w:p>
            <w:pPr>
              <w:widowControl/>
              <w:ind w:left="57" w:right="57"/>
              <w:jc w:val="left"/>
              <w:rPr>
                <w:rFonts w:ascii="Times New Roman" w:hAnsi="Times New Roman"/>
                <w:kern w:val="0"/>
                <w:sz w:val="18"/>
                <w:szCs w:val="18"/>
              </w:rPr>
            </w:pPr>
            <w:r>
              <w:rPr>
                <w:rFonts w:ascii="Times New Roman" w:hAnsi="Times New Roman"/>
                <w:b/>
                <w:bCs/>
                <w:kern w:val="0"/>
                <w:szCs w:val="24"/>
              </w:rPr>
              <w:t>合 计</w:t>
            </w:r>
          </w:p>
        </w:tc>
        <w:tc>
          <w:tcPr>
            <w:tcW w:w="1605" w:type="dxa"/>
            <w:tcBorders>
              <w:top w:val="single" w:color="auto" w:sz="4" w:space="0"/>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7163.6</w:t>
            </w:r>
            <w:r>
              <w:rPr>
                <w:rFonts w:ascii="Times New Roman" w:hAnsi="Times New Roman"/>
                <w:sz w:val="20"/>
                <w:szCs w:val="20"/>
              </w:rPr>
              <w:t xml:space="preserve"> </w:t>
            </w:r>
          </w:p>
        </w:tc>
        <w:tc>
          <w:tcPr>
            <w:tcW w:w="1605" w:type="dxa"/>
            <w:tcBorders>
              <w:top w:val="single" w:color="auto" w:sz="4" w:space="0"/>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1776.9</w:t>
            </w:r>
            <w:r>
              <w:rPr>
                <w:rFonts w:ascii="Times New Roman" w:hAnsi="Times New Roman"/>
                <w:sz w:val="20"/>
                <w:szCs w:val="20"/>
              </w:rPr>
              <w:t xml:space="preserve"> </w:t>
            </w:r>
          </w:p>
        </w:tc>
        <w:tc>
          <w:tcPr>
            <w:tcW w:w="1809" w:type="dxa"/>
            <w:tcBorders>
              <w:top w:val="single" w:color="auto" w:sz="4" w:space="0"/>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1784.9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4082"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居民服务业</w:t>
            </w:r>
          </w:p>
        </w:tc>
        <w:tc>
          <w:tcPr>
            <w:tcW w:w="1605"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3654.9</w:t>
            </w:r>
          </w:p>
        </w:tc>
        <w:tc>
          <w:tcPr>
            <w:tcW w:w="1605"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22.2</w:t>
            </w:r>
            <w:r>
              <w:rPr>
                <w:rFonts w:ascii="Times New Roman" w:hAnsi="Times New Roman"/>
                <w:sz w:val="20"/>
                <w:szCs w:val="20"/>
              </w:rPr>
              <w:t xml:space="preserve"> </w:t>
            </w:r>
          </w:p>
        </w:tc>
        <w:tc>
          <w:tcPr>
            <w:tcW w:w="1809" w:type="dxa"/>
            <w:tcBorders>
              <w:top w:val="nil"/>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687.1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4082" w:type="dxa"/>
            <w:tcBorders>
              <w:top w:val="nil"/>
              <w:left w:val="nil"/>
              <w:bottom w:val="nil"/>
              <w:right w:val="single" w:color="auto" w:sz="4" w:space="0"/>
            </w:tcBorders>
            <w:vAlign w:val="center"/>
          </w:tcPr>
          <w:p>
            <w:pPr>
              <w:rPr>
                <w:rFonts w:ascii="Times New Roman" w:hAnsi="Times New Roman"/>
                <w:szCs w:val="21"/>
              </w:rPr>
            </w:pPr>
            <w:r>
              <w:rPr>
                <w:rFonts w:ascii="Times New Roman" w:hAnsi="Times New Roman"/>
                <w:kern w:val="0"/>
                <w:szCs w:val="24"/>
              </w:rPr>
              <w:t xml:space="preserve"> 机动车、电子产品和日用产品修理业</w:t>
            </w:r>
          </w:p>
        </w:tc>
        <w:tc>
          <w:tcPr>
            <w:tcW w:w="1605"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2879.5</w:t>
            </w:r>
            <w:r>
              <w:rPr>
                <w:rFonts w:ascii="Times New Roman" w:hAnsi="Times New Roman"/>
                <w:sz w:val="20"/>
                <w:szCs w:val="20"/>
              </w:rPr>
              <w:t xml:space="preserve"> </w:t>
            </w:r>
          </w:p>
        </w:tc>
        <w:tc>
          <w:tcPr>
            <w:tcW w:w="1605" w:type="dxa"/>
            <w:tcBorders>
              <w:top w:val="nil"/>
              <w:left w:val="nil"/>
              <w:bottom w:val="nil"/>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1753.7</w:t>
            </w:r>
            <w:r>
              <w:rPr>
                <w:rFonts w:ascii="Times New Roman" w:hAnsi="Times New Roman"/>
                <w:sz w:val="20"/>
                <w:szCs w:val="20"/>
              </w:rPr>
              <w:t xml:space="preserve"> </w:t>
            </w:r>
          </w:p>
        </w:tc>
        <w:tc>
          <w:tcPr>
            <w:tcW w:w="1809" w:type="dxa"/>
            <w:tcBorders>
              <w:top w:val="nil"/>
              <w:left w:val="nil"/>
              <w:bottom w:val="nil"/>
              <w:right w:val="nil"/>
            </w:tcBorders>
            <w:vAlign w:val="top"/>
          </w:tcPr>
          <w:p>
            <w:pPr>
              <w:jc w:val="right"/>
              <w:rPr>
                <w:rFonts w:ascii="Times New Roman" w:hAnsi="Times New Roman"/>
                <w:sz w:val="20"/>
                <w:szCs w:val="20"/>
              </w:rPr>
            </w:pPr>
            <w:r>
              <w:rPr>
                <w:rFonts w:hint="eastAsia" w:ascii="Times New Roman" w:hAnsi="Times New Roman"/>
                <w:sz w:val="20"/>
                <w:szCs w:val="20"/>
              </w:rPr>
              <w:t>884.0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11" w:hRule="atLeast"/>
        </w:trPr>
        <w:tc>
          <w:tcPr>
            <w:tcW w:w="4082" w:type="dxa"/>
            <w:tcBorders>
              <w:top w:val="nil"/>
              <w:left w:val="nil"/>
              <w:bottom w:val="single" w:color="auto" w:sz="12" w:space="0"/>
              <w:right w:val="single" w:color="auto" w:sz="4" w:space="0"/>
            </w:tcBorders>
            <w:vAlign w:val="center"/>
          </w:tcPr>
          <w:p>
            <w:pPr>
              <w:rPr>
                <w:rFonts w:ascii="Times New Roman" w:hAnsi="Times New Roman"/>
                <w:szCs w:val="21"/>
              </w:rPr>
            </w:pPr>
            <w:r>
              <w:rPr>
                <w:rFonts w:ascii="Times New Roman" w:hAnsi="Times New Roman"/>
                <w:kern w:val="0"/>
                <w:szCs w:val="24"/>
              </w:rPr>
              <w:t xml:space="preserve"> 其他服务业</w:t>
            </w:r>
          </w:p>
        </w:tc>
        <w:tc>
          <w:tcPr>
            <w:tcW w:w="1605" w:type="dxa"/>
            <w:tcBorders>
              <w:top w:val="nil"/>
              <w:left w:val="nil"/>
              <w:bottom w:val="single" w:color="auto" w:sz="12" w:space="0"/>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629.2</w:t>
            </w:r>
          </w:p>
        </w:tc>
        <w:tc>
          <w:tcPr>
            <w:tcW w:w="1605" w:type="dxa"/>
            <w:tcBorders>
              <w:top w:val="nil"/>
              <w:left w:val="nil"/>
              <w:bottom w:val="single" w:color="auto" w:sz="12" w:space="0"/>
              <w:right w:val="single" w:color="auto" w:sz="4" w:space="0"/>
            </w:tcBorders>
            <w:vAlign w:val="top"/>
          </w:tcPr>
          <w:p>
            <w:pPr>
              <w:jc w:val="right"/>
              <w:rPr>
                <w:rFonts w:ascii="Times New Roman" w:hAnsi="Times New Roman"/>
                <w:sz w:val="20"/>
                <w:szCs w:val="20"/>
              </w:rPr>
            </w:pPr>
            <w:r>
              <w:rPr>
                <w:rFonts w:hint="eastAsia" w:ascii="Times New Roman" w:hAnsi="Times New Roman"/>
                <w:sz w:val="20"/>
                <w:szCs w:val="20"/>
              </w:rPr>
              <w:t>1.0</w:t>
            </w:r>
            <w:r>
              <w:rPr>
                <w:rFonts w:ascii="Times New Roman" w:hAnsi="Times New Roman"/>
                <w:sz w:val="20"/>
                <w:szCs w:val="20"/>
              </w:rPr>
              <w:t xml:space="preserve"> </w:t>
            </w:r>
          </w:p>
        </w:tc>
        <w:tc>
          <w:tcPr>
            <w:tcW w:w="1809" w:type="dxa"/>
            <w:tcBorders>
              <w:top w:val="nil"/>
              <w:left w:val="nil"/>
              <w:bottom w:val="single" w:color="auto" w:sz="12" w:space="0"/>
              <w:right w:val="nil"/>
            </w:tcBorders>
            <w:vAlign w:val="top"/>
          </w:tcPr>
          <w:p>
            <w:pPr>
              <w:jc w:val="right"/>
              <w:rPr>
                <w:rFonts w:ascii="Times New Roman" w:hAnsi="Times New Roman"/>
                <w:sz w:val="20"/>
                <w:szCs w:val="20"/>
              </w:rPr>
            </w:pPr>
            <w:r>
              <w:rPr>
                <w:rFonts w:hint="eastAsia" w:ascii="Times New Roman" w:hAnsi="Times New Roman"/>
                <w:sz w:val="20"/>
                <w:szCs w:val="20"/>
              </w:rPr>
              <w:t>213.8</w:t>
            </w:r>
          </w:p>
        </w:tc>
      </w:tr>
    </w:tbl>
    <w:p>
      <w:pPr>
        <w:spacing w:line="586" w:lineRule="exact"/>
        <w:ind w:firstLine="640" w:firstLineChars="200"/>
        <w:rPr>
          <w:rFonts w:hint="eastAsia" w:ascii="Times New Roman" w:hAnsi="Times New Roman" w:eastAsia="黑体"/>
          <w:kern w:val="0"/>
          <w:sz w:val="32"/>
          <w:szCs w:val="32"/>
        </w:rPr>
      </w:pPr>
    </w:p>
    <w:p>
      <w:pPr>
        <w:spacing w:line="586" w:lineRule="exact"/>
        <w:ind w:firstLine="640" w:firstLineChars="200"/>
        <w:rPr>
          <w:rFonts w:ascii="Times New Roman" w:hAnsi="Times New Roman" w:eastAsia="黑体"/>
          <w:color w:val="auto"/>
          <w:kern w:val="0"/>
          <w:sz w:val="32"/>
          <w:szCs w:val="32"/>
        </w:rPr>
      </w:pPr>
      <w:r>
        <w:rPr>
          <w:rFonts w:ascii="Times New Roman" w:hAnsi="Times New Roman" w:eastAsia="黑体"/>
          <w:color w:val="auto"/>
          <w:kern w:val="0"/>
          <w:sz w:val="32"/>
          <w:szCs w:val="32"/>
        </w:rPr>
        <w:t>四、教育</w:t>
      </w:r>
    </w:p>
    <w:p>
      <w:p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（一）法人单位数和从业人员。</w:t>
      </w:r>
    </w:p>
    <w:p>
      <w:pPr>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2018年末，全市共有教育法人单位</w:t>
      </w:r>
      <w:r>
        <w:rPr>
          <w:rFonts w:hint="eastAsia" w:ascii="Times New Roman" w:hAnsi="Times New Roman" w:eastAsia="仿宋_GB2312"/>
          <w:color w:val="auto"/>
          <w:sz w:val="32"/>
          <w:szCs w:val="32"/>
          <w:lang w:val="en-US" w:eastAsia="zh-CN"/>
        </w:rPr>
        <w:t>116</w:t>
      </w:r>
      <w:r>
        <w:rPr>
          <w:rFonts w:ascii="Times New Roman" w:hAnsi="Times New Roman" w:eastAsia="仿宋_GB2312"/>
          <w:color w:val="auto"/>
          <w:sz w:val="32"/>
          <w:szCs w:val="32"/>
        </w:rPr>
        <w:t>个</w:t>
      </w:r>
      <w:r>
        <w:rPr>
          <w:rFonts w:ascii="Times New Roman" w:hAnsi="Times New Roman" w:eastAsia="仿宋_GB2312"/>
          <w:color w:val="auto"/>
          <w:kern w:val="0"/>
          <w:sz w:val="32"/>
          <w:szCs w:val="32"/>
        </w:rPr>
        <w:t>，从业人员</w:t>
      </w:r>
      <w:r>
        <w:rPr>
          <w:rFonts w:hint="eastAsia" w:ascii="Times New Roman" w:hAnsi="Times New Roman" w:eastAsia="仿宋_GB2312"/>
          <w:color w:val="auto"/>
          <w:kern w:val="0"/>
          <w:sz w:val="32"/>
          <w:szCs w:val="32"/>
          <w:lang w:val="en-US" w:eastAsia="zh-CN"/>
        </w:rPr>
        <w:t>3978</w:t>
      </w:r>
      <w:r>
        <w:rPr>
          <w:rFonts w:ascii="Times New Roman" w:hAnsi="Times New Roman" w:eastAsia="仿宋_GB2312"/>
          <w:color w:val="auto"/>
          <w:kern w:val="0"/>
          <w:sz w:val="32"/>
          <w:szCs w:val="32"/>
        </w:rPr>
        <w:t>人，比2013年末</w:t>
      </w:r>
      <w:r>
        <w:rPr>
          <w:rFonts w:hint="eastAsia" w:ascii="Times New Roman" w:hAnsi="Times New Roman" w:eastAsia="仿宋_GB2312"/>
          <w:color w:val="auto"/>
          <w:kern w:val="0"/>
          <w:sz w:val="32"/>
          <w:szCs w:val="32"/>
          <w:lang w:eastAsia="zh-CN"/>
        </w:rPr>
        <w:t>下降</w:t>
      </w:r>
      <w:r>
        <w:rPr>
          <w:rFonts w:hint="eastAsia" w:ascii="Times New Roman" w:hAnsi="Times New Roman" w:eastAsia="仿宋_GB2312"/>
          <w:color w:val="auto"/>
          <w:kern w:val="0"/>
          <w:sz w:val="32"/>
          <w:szCs w:val="32"/>
          <w:lang w:val="en-US" w:eastAsia="zh-CN"/>
        </w:rPr>
        <w:t>21.1</w:t>
      </w:r>
      <w:r>
        <w:rPr>
          <w:rFonts w:ascii="Times New Roman" w:hAnsi="Times New Roman" w:eastAsia="仿宋_GB2312"/>
          <w:color w:val="auto"/>
          <w:kern w:val="0"/>
          <w:sz w:val="32"/>
          <w:szCs w:val="32"/>
        </w:rPr>
        <w:t>%和</w:t>
      </w:r>
      <w:r>
        <w:rPr>
          <w:rFonts w:hint="eastAsia" w:ascii="Times New Roman" w:hAnsi="Times New Roman" w:eastAsia="仿宋_GB2312"/>
          <w:color w:val="auto"/>
          <w:kern w:val="0"/>
          <w:sz w:val="32"/>
          <w:szCs w:val="32"/>
          <w:lang w:eastAsia="zh-CN"/>
        </w:rPr>
        <w:t>增长</w:t>
      </w:r>
      <w:r>
        <w:rPr>
          <w:rFonts w:hint="eastAsia" w:ascii="Times New Roman" w:hAnsi="Times New Roman" w:eastAsia="仿宋_GB2312"/>
          <w:color w:val="auto"/>
          <w:kern w:val="0"/>
          <w:sz w:val="32"/>
          <w:szCs w:val="32"/>
          <w:lang w:val="en-US" w:eastAsia="zh-CN"/>
        </w:rPr>
        <w:t>17.1</w:t>
      </w:r>
      <w:r>
        <w:rPr>
          <w:rFonts w:ascii="Times New Roman" w:hAnsi="Times New Roman" w:eastAsia="仿宋_GB2312"/>
          <w:color w:val="auto"/>
          <w:kern w:val="0"/>
          <w:sz w:val="32"/>
          <w:szCs w:val="32"/>
        </w:rPr>
        <w:t>%。其中，行政事业及非企业法人单位</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val="en-US" w:eastAsia="zh-CN"/>
        </w:rPr>
        <w:t>71</w:t>
      </w:r>
      <w:r>
        <w:rPr>
          <w:rFonts w:ascii="Times New Roman" w:hAnsi="Times New Roman" w:eastAsia="仿宋_GB2312"/>
          <w:color w:val="auto"/>
          <w:kern w:val="0"/>
          <w:sz w:val="32"/>
          <w:szCs w:val="32"/>
        </w:rPr>
        <w:t>个，从业人员</w:t>
      </w:r>
      <w:r>
        <w:rPr>
          <w:rFonts w:hint="eastAsia" w:ascii="Times New Roman" w:hAnsi="Times New Roman" w:eastAsia="仿宋_GB2312"/>
          <w:color w:val="auto"/>
          <w:kern w:val="0"/>
          <w:sz w:val="32"/>
          <w:szCs w:val="32"/>
          <w:lang w:val="en-US" w:eastAsia="zh-CN"/>
        </w:rPr>
        <w:t>3451</w:t>
      </w:r>
      <w:r>
        <w:rPr>
          <w:rFonts w:ascii="Times New Roman" w:hAnsi="Times New Roman" w:eastAsia="仿宋_GB2312"/>
          <w:color w:val="auto"/>
          <w:kern w:val="0"/>
          <w:sz w:val="32"/>
          <w:szCs w:val="32"/>
        </w:rPr>
        <w:t>人，比2013年末下降</w:t>
      </w:r>
      <w:r>
        <w:rPr>
          <w:rFonts w:hint="eastAsia" w:ascii="Times New Roman" w:hAnsi="Times New Roman" w:eastAsia="仿宋_GB2312"/>
          <w:color w:val="auto"/>
          <w:kern w:val="0"/>
          <w:sz w:val="32"/>
          <w:szCs w:val="32"/>
          <w:lang w:val="en-US" w:eastAsia="zh-CN"/>
        </w:rPr>
        <w:t xml:space="preserve">51.0 </w:t>
      </w:r>
      <w:r>
        <w:rPr>
          <w:rFonts w:ascii="Times New Roman" w:hAnsi="Times New Roman" w:eastAsia="仿宋_GB2312"/>
          <w:color w:val="auto"/>
          <w:kern w:val="0"/>
          <w:sz w:val="32"/>
          <w:szCs w:val="32"/>
        </w:rPr>
        <w:t>%和</w:t>
      </w:r>
      <w:r>
        <w:rPr>
          <w:rFonts w:hint="eastAsia" w:ascii="Times New Roman" w:hAnsi="Times New Roman" w:eastAsia="仿宋_GB2312"/>
          <w:color w:val="auto"/>
          <w:kern w:val="0"/>
          <w:sz w:val="32"/>
          <w:szCs w:val="32"/>
          <w:lang w:eastAsia="zh-CN"/>
        </w:rPr>
        <w:t>增长</w:t>
      </w:r>
      <w:r>
        <w:rPr>
          <w:rFonts w:hint="eastAsia" w:ascii="Times New Roman" w:hAnsi="Times New Roman" w:eastAsia="仿宋_GB2312"/>
          <w:color w:val="auto"/>
          <w:kern w:val="0"/>
          <w:sz w:val="32"/>
          <w:szCs w:val="32"/>
          <w:lang w:val="en-US" w:eastAsia="zh-CN"/>
        </w:rPr>
        <w:t xml:space="preserve">2.9 </w:t>
      </w:r>
      <w:r>
        <w:rPr>
          <w:rFonts w:ascii="Times New Roman" w:hAnsi="Times New Roman" w:eastAsia="仿宋_GB2312"/>
          <w:color w:val="auto"/>
          <w:kern w:val="0"/>
          <w:sz w:val="32"/>
          <w:szCs w:val="32"/>
        </w:rPr>
        <w:t>%。</w:t>
      </w:r>
    </w:p>
    <w:p>
      <w:p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（二）主要经济指标。</w:t>
      </w:r>
      <w:r>
        <w:rPr>
          <w:rFonts w:ascii="Times New Roman" w:hAnsi="Times New Roman" w:eastAsia="楷体_GB2312"/>
          <w:color w:val="auto"/>
          <w:kern w:val="0"/>
          <w:sz w:val="32"/>
          <w:szCs w:val="32"/>
        </w:rPr>
        <w:tab/>
      </w:r>
    </w:p>
    <w:p>
      <w:pPr>
        <w:spacing w:line="586" w:lineRule="exact"/>
        <w:ind w:firstLine="688" w:firstLineChars="200"/>
        <w:rPr>
          <w:rFonts w:ascii="Times New Roman" w:hAnsi="Times New Roman" w:eastAsia="仿宋_GB2312"/>
          <w:color w:val="auto"/>
          <w:kern w:val="0"/>
          <w:sz w:val="32"/>
          <w:szCs w:val="32"/>
        </w:rPr>
      </w:pPr>
      <w:r>
        <w:rPr>
          <w:rFonts w:ascii="Times New Roman" w:hAnsi="Times New Roman" w:eastAsia="仿宋_GB2312"/>
          <w:color w:val="auto"/>
          <w:spacing w:val="12"/>
          <w:kern w:val="0"/>
          <w:sz w:val="32"/>
          <w:szCs w:val="32"/>
        </w:rPr>
        <w:t>2018年末，教育企业法人单位资产总计</w:t>
      </w:r>
      <w:r>
        <w:rPr>
          <w:rFonts w:hint="eastAsia" w:ascii="Times New Roman" w:hAnsi="Times New Roman" w:eastAsia="仿宋_GB2312"/>
          <w:color w:val="auto"/>
          <w:spacing w:val="12"/>
          <w:kern w:val="0"/>
          <w:sz w:val="32"/>
          <w:szCs w:val="32"/>
          <w:lang w:val="en-US" w:eastAsia="zh-CN"/>
        </w:rPr>
        <w:t>7108.5万</w:t>
      </w:r>
      <w:r>
        <w:rPr>
          <w:rFonts w:ascii="Times New Roman" w:hAnsi="Times New Roman" w:eastAsia="仿宋_GB2312"/>
          <w:color w:val="auto"/>
          <w:spacing w:val="12"/>
          <w:kern w:val="0"/>
          <w:sz w:val="32"/>
          <w:szCs w:val="32"/>
        </w:rPr>
        <w:t>元，比2013</w:t>
      </w:r>
      <w:r>
        <w:rPr>
          <w:rFonts w:ascii="Times New Roman" w:hAnsi="Times New Roman" w:eastAsia="仿宋_GB2312"/>
          <w:color w:val="auto"/>
          <w:kern w:val="0"/>
          <w:sz w:val="32"/>
          <w:szCs w:val="32"/>
        </w:rPr>
        <w:t>年末增长</w:t>
      </w:r>
      <w:r>
        <w:rPr>
          <w:rFonts w:hint="eastAsia" w:ascii="Times New Roman" w:hAnsi="Times New Roman" w:eastAsia="仿宋_GB2312"/>
          <w:color w:val="auto"/>
          <w:kern w:val="0"/>
          <w:sz w:val="32"/>
          <w:szCs w:val="32"/>
          <w:lang w:val="en-US" w:eastAsia="zh-CN"/>
        </w:rPr>
        <w:t xml:space="preserve">294.9 </w:t>
      </w:r>
      <w:r>
        <w:rPr>
          <w:rFonts w:ascii="Times New Roman" w:hAnsi="Times New Roman" w:eastAsia="仿宋_GB2312"/>
          <w:color w:val="auto"/>
          <w:kern w:val="0"/>
          <w:sz w:val="32"/>
          <w:szCs w:val="32"/>
        </w:rPr>
        <w:t>%。负债合计</w:t>
      </w:r>
      <w:r>
        <w:rPr>
          <w:rFonts w:hint="eastAsia" w:ascii="Times New Roman" w:hAnsi="Times New Roman" w:eastAsia="仿宋_GB2312"/>
          <w:color w:val="auto"/>
          <w:kern w:val="0"/>
          <w:sz w:val="32"/>
          <w:szCs w:val="32"/>
          <w:lang w:val="en-US" w:eastAsia="zh-CN"/>
        </w:rPr>
        <w:t>800.6万</w:t>
      </w:r>
      <w:r>
        <w:rPr>
          <w:rFonts w:ascii="Times New Roman" w:hAnsi="Times New Roman" w:eastAsia="仿宋_GB2312"/>
          <w:color w:val="auto"/>
          <w:kern w:val="0"/>
          <w:sz w:val="32"/>
          <w:szCs w:val="32"/>
        </w:rPr>
        <w:t>元。全年实现营业收入</w:t>
      </w:r>
      <w:r>
        <w:rPr>
          <w:rFonts w:hint="eastAsia" w:ascii="Times New Roman" w:hAnsi="Times New Roman" w:eastAsia="仿宋_GB2312"/>
          <w:color w:val="auto"/>
          <w:kern w:val="0"/>
          <w:sz w:val="32"/>
          <w:szCs w:val="32"/>
          <w:lang w:val="en-US" w:eastAsia="zh-CN"/>
        </w:rPr>
        <w:t>4273.7万</w:t>
      </w:r>
      <w:r>
        <w:rPr>
          <w:rFonts w:ascii="Times New Roman" w:hAnsi="Times New Roman" w:eastAsia="仿宋_GB2312"/>
          <w:color w:val="auto"/>
          <w:kern w:val="0"/>
          <w:sz w:val="32"/>
          <w:szCs w:val="32"/>
        </w:rPr>
        <w:t>元。</w:t>
      </w:r>
      <w:r>
        <w:rPr>
          <w:rFonts w:ascii="Times New Roman" w:hAnsi="Times New Roman" w:eastAsia="仿宋_GB2312"/>
          <w:color w:val="auto"/>
          <w:kern w:val="0"/>
          <w:sz w:val="32"/>
          <w:szCs w:val="32"/>
        </w:rPr>
        <w:tab/>
      </w:r>
      <w:r>
        <w:rPr>
          <w:rFonts w:ascii="Times New Roman" w:hAnsi="Times New Roman" w:eastAsia="仿宋_GB2312"/>
          <w:color w:val="auto"/>
          <w:kern w:val="0"/>
          <w:sz w:val="32"/>
          <w:szCs w:val="32"/>
        </w:rPr>
        <w:t xml:space="preserve">  </w:t>
      </w:r>
      <w:r>
        <w:rPr>
          <w:rFonts w:ascii="Times New Roman" w:hAnsi="Times New Roman" w:eastAsia="仿宋_GB2312"/>
          <w:color w:val="auto"/>
          <w:kern w:val="0"/>
          <w:sz w:val="32"/>
          <w:szCs w:val="32"/>
        </w:rPr>
        <w:tab/>
      </w:r>
      <w:r>
        <w:rPr>
          <w:rFonts w:ascii="Times New Roman" w:hAnsi="Times New Roman" w:eastAsia="仿宋_GB2312"/>
          <w:color w:val="auto"/>
          <w:kern w:val="0"/>
          <w:sz w:val="32"/>
          <w:szCs w:val="32"/>
        </w:rPr>
        <w:t xml:space="preserve"> </w:t>
      </w:r>
      <w:r>
        <w:rPr>
          <w:rFonts w:ascii="Times New Roman" w:hAnsi="Times New Roman" w:eastAsia="仿宋_GB2312"/>
          <w:color w:val="auto"/>
          <w:kern w:val="0"/>
          <w:sz w:val="32"/>
          <w:szCs w:val="32"/>
        </w:rPr>
        <w:tab/>
      </w:r>
    </w:p>
    <w:p>
      <w:pPr>
        <w:spacing w:line="586" w:lineRule="exact"/>
        <w:ind w:firstLine="600" w:firstLineChars="200"/>
        <w:rPr>
          <w:rFonts w:ascii="Times New Roman" w:hAnsi="Times New Roman" w:eastAsia="仿宋_GB2312"/>
          <w:color w:val="auto"/>
          <w:kern w:val="0"/>
          <w:sz w:val="32"/>
          <w:szCs w:val="32"/>
        </w:rPr>
      </w:pPr>
      <w:r>
        <w:rPr>
          <w:rFonts w:ascii="Times New Roman" w:hAnsi="Times New Roman" w:eastAsia="仿宋_GB2312"/>
          <w:color w:val="auto"/>
          <w:spacing w:val="-10"/>
          <w:kern w:val="0"/>
          <w:sz w:val="32"/>
          <w:szCs w:val="32"/>
        </w:rPr>
        <w:t>行政事业及非企业法人单位年末资产</w:t>
      </w:r>
      <w:r>
        <w:rPr>
          <w:rFonts w:ascii="Times New Roman" w:hAnsi="Times New Roman" w:eastAsia="仿宋_GB2312"/>
          <w:color w:val="auto"/>
          <w:spacing w:val="-10"/>
          <w:sz w:val="32"/>
          <w:szCs w:val="32"/>
        </w:rPr>
        <w:t xml:space="preserve"> </w:t>
      </w:r>
      <w:r>
        <w:rPr>
          <w:rFonts w:hint="eastAsia" w:ascii="Times New Roman" w:hAnsi="Times New Roman" w:eastAsia="仿宋_GB2312"/>
          <w:color w:val="auto"/>
          <w:spacing w:val="-10"/>
          <w:sz w:val="32"/>
          <w:szCs w:val="32"/>
          <w:lang w:val="en-US" w:eastAsia="zh-CN"/>
        </w:rPr>
        <w:t>40691.5万</w:t>
      </w:r>
      <w:r>
        <w:rPr>
          <w:rFonts w:ascii="Times New Roman" w:hAnsi="Times New Roman" w:eastAsia="仿宋_GB2312"/>
          <w:color w:val="auto"/>
          <w:spacing w:val="-10"/>
          <w:kern w:val="0"/>
          <w:sz w:val="32"/>
          <w:szCs w:val="32"/>
        </w:rPr>
        <w:t>元</w:t>
      </w:r>
      <w:r>
        <w:rPr>
          <w:rFonts w:hint="eastAsia" w:ascii="Times New Roman" w:hAnsi="Times New Roman" w:eastAsia="仿宋_GB2312"/>
          <w:color w:val="auto"/>
          <w:spacing w:val="-10"/>
          <w:kern w:val="0"/>
          <w:sz w:val="32"/>
          <w:szCs w:val="32"/>
          <w:lang w:eastAsia="zh-CN"/>
        </w:rPr>
        <w:t>。</w:t>
      </w:r>
      <w:r>
        <w:rPr>
          <w:rFonts w:ascii="Times New Roman" w:hAnsi="Times New Roman" w:eastAsia="仿宋_GB2312"/>
          <w:color w:val="auto"/>
          <w:kern w:val="0"/>
          <w:sz w:val="32"/>
          <w:szCs w:val="32"/>
        </w:rPr>
        <w:t>本年支出（费用）合计</w:t>
      </w:r>
      <w:r>
        <w:rPr>
          <w:rFonts w:hint="eastAsia" w:ascii="Times New Roman" w:hAnsi="Times New Roman" w:eastAsia="仿宋_GB2312"/>
          <w:color w:val="auto"/>
          <w:kern w:val="0"/>
          <w:sz w:val="32"/>
          <w:szCs w:val="32"/>
          <w:lang w:val="en-US" w:eastAsia="zh-CN"/>
        </w:rPr>
        <w:t>55276.1万</w:t>
      </w:r>
      <w:r>
        <w:rPr>
          <w:rFonts w:ascii="Times New Roman" w:hAnsi="Times New Roman" w:eastAsia="仿宋_GB2312"/>
          <w:color w:val="auto"/>
          <w:kern w:val="0"/>
          <w:sz w:val="32"/>
          <w:szCs w:val="32"/>
        </w:rPr>
        <w:t xml:space="preserve">元。 </w:t>
      </w:r>
      <w:r>
        <w:rPr>
          <w:rFonts w:ascii="Times New Roman" w:hAnsi="Times New Roman" w:eastAsia="仿宋_GB2312"/>
          <w:color w:val="FF0000"/>
          <w:kern w:val="0"/>
          <w:sz w:val="32"/>
          <w:szCs w:val="32"/>
        </w:rPr>
        <w:t xml:space="preserve"> </w:t>
      </w:r>
      <w:r>
        <w:rPr>
          <w:rFonts w:ascii="Times New Roman" w:hAnsi="Times New Roman" w:eastAsia="仿宋_GB2312"/>
          <w:color w:val="FF0000"/>
          <w:kern w:val="0"/>
          <w:sz w:val="32"/>
          <w:szCs w:val="32"/>
        </w:rPr>
        <w:tab/>
      </w:r>
      <w:r>
        <w:rPr>
          <w:rFonts w:ascii="Times New Roman" w:hAnsi="Times New Roman" w:eastAsia="仿宋_GB2312"/>
          <w:color w:val="auto"/>
          <w:kern w:val="0"/>
          <w:sz w:val="32"/>
          <w:szCs w:val="32"/>
        </w:rPr>
        <w:tab/>
      </w:r>
      <w:r>
        <w:rPr>
          <w:rFonts w:ascii="Times New Roman" w:hAnsi="Times New Roman" w:eastAsia="仿宋_GB2312"/>
          <w:color w:val="auto"/>
          <w:kern w:val="0"/>
          <w:sz w:val="32"/>
          <w:szCs w:val="32"/>
        </w:rPr>
        <w:tab/>
      </w:r>
    </w:p>
    <w:p>
      <w:pPr>
        <w:spacing w:line="586" w:lineRule="exact"/>
        <w:ind w:firstLine="640" w:firstLineChars="200"/>
        <w:rPr>
          <w:rFonts w:ascii="Times New Roman" w:hAnsi="Times New Roman" w:eastAsia="黑体"/>
          <w:color w:val="auto"/>
          <w:kern w:val="0"/>
          <w:sz w:val="32"/>
          <w:szCs w:val="32"/>
        </w:rPr>
      </w:pPr>
      <w:r>
        <w:rPr>
          <w:rFonts w:ascii="Times New Roman" w:hAnsi="Times New Roman" w:eastAsia="黑体"/>
          <w:color w:val="auto"/>
          <w:kern w:val="0"/>
          <w:sz w:val="32"/>
          <w:szCs w:val="32"/>
        </w:rPr>
        <w:t>五、卫生和社会工作</w:t>
      </w:r>
    </w:p>
    <w:p>
      <w:pPr>
        <w:numPr>
          <w:ilvl w:val="0"/>
          <w:numId w:val="1"/>
        </w:num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 xml:space="preserve">法人单位数和从业人员。 </w:t>
      </w:r>
    </w:p>
    <w:p>
      <w:pPr>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楷体_GB2312"/>
          <w:color w:val="auto"/>
          <w:kern w:val="0"/>
          <w:sz w:val="32"/>
          <w:szCs w:val="32"/>
        </w:rPr>
        <w:tab/>
      </w:r>
      <w:r>
        <w:rPr>
          <w:rFonts w:ascii="Times New Roman" w:hAnsi="Times New Roman" w:eastAsia="仿宋_GB2312"/>
          <w:color w:val="auto"/>
          <w:kern w:val="0"/>
          <w:sz w:val="32"/>
          <w:szCs w:val="32"/>
        </w:rPr>
        <w:t>2018年末，全市共有卫生和社会工作法人单位</w:t>
      </w:r>
      <w:r>
        <w:rPr>
          <w:rFonts w:hint="eastAsia" w:ascii="Times New Roman" w:hAnsi="Times New Roman" w:eastAsia="仿宋_GB2312"/>
          <w:color w:val="auto"/>
          <w:kern w:val="0"/>
          <w:sz w:val="32"/>
          <w:szCs w:val="32"/>
          <w:lang w:val="en-US" w:eastAsia="zh-CN"/>
        </w:rPr>
        <w:t>43</w:t>
      </w:r>
      <w:r>
        <w:rPr>
          <w:rFonts w:ascii="Times New Roman" w:hAnsi="Times New Roman" w:eastAsia="仿宋_GB2312"/>
          <w:color w:val="auto"/>
          <w:kern w:val="0"/>
          <w:sz w:val="32"/>
          <w:szCs w:val="32"/>
        </w:rPr>
        <w:t>个，从业人员</w:t>
      </w:r>
      <w:r>
        <w:rPr>
          <w:rFonts w:hint="eastAsia" w:ascii="Times New Roman" w:hAnsi="Times New Roman" w:eastAsia="仿宋_GB2312"/>
          <w:color w:val="auto"/>
          <w:kern w:val="0"/>
          <w:sz w:val="32"/>
          <w:szCs w:val="32"/>
          <w:lang w:val="en-US" w:eastAsia="zh-CN"/>
        </w:rPr>
        <w:t>1996</w:t>
      </w:r>
      <w:r>
        <w:rPr>
          <w:rFonts w:ascii="Times New Roman" w:hAnsi="Times New Roman" w:eastAsia="仿宋_GB2312"/>
          <w:color w:val="auto"/>
          <w:kern w:val="0"/>
          <w:sz w:val="32"/>
          <w:szCs w:val="32"/>
        </w:rPr>
        <w:t>人，分别比2013年末增长</w:t>
      </w:r>
      <w:r>
        <w:rPr>
          <w:rFonts w:hint="eastAsia" w:ascii="Times New Roman" w:hAnsi="Times New Roman" w:eastAsia="仿宋_GB2312"/>
          <w:color w:val="auto"/>
          <w:kern w:val="0"/>
          <w:sz w:val="32"/>
          <w:szCs w:val="32"/>
          <w:lang w:val="en-US" w:eastAsia="zh-CN"/>
        </w:rPr>
        <w:t>13.2</w:t>
      </w:r>
      <w:r>
        <w:rPr>
          <w:rFonts w:ascii="Times New Roman" w:hAnsi="Times New Roman" w:eastAsia="仿宋_GB2312"/>
          <w:color w:val="auto"/>
          <w:kern w:val="0"/>
          <w:sz w:val="32"/>
          <w:szCs w:val="32"/>
        </w:rPr>
        <w:t>%和24.</w:t>
      </w:r>
      <w:r>
        <w:rPr>
          <w:rFonts w:hint="eastAsia" w:ascii="Times New Roman" w:hAnsi="Times New Roman" w:eastAsia="仿宋_GB2312"/>
          <w:color w:val="auto"/>
          <w:kern w:val="0"/>
          <w:sz w:val="32"/>
          <w:szCs w:val="32"/>
          <w:lang w:val="en-US" w:eastAsia="zh-CN"/>
        </w:rPr>
        <w:t>2</w:t>
      </w:r>
      <w:r>
        <w:rPr>
          <w:rFonts w:ascii="Times New Roman" w:hAnsi="Times New Roman" w:eastAsia="仿宋_GB2312"/>
          <w:color w:val="auto"/>
          <w:kern w:val="0"/>
          <w:sz w:val="32"/>
          <w:szCs w:val="32"/>
        </w:rPr>
        <w:t>%。其中，行政事业及非企业法人单位</w:t>
      </w:r>
      <w:r>
        <w:rPr>
          <w:rFonts w:hint="eastAsia" w:ascii="Times New Roman" w:hAnsi="Times New Roman" w:eastAsia="仿宋_GB2312"/>
          <w:color w:val="auto"/>
          <w:sz w:val="32"/>
          <w:szCs w:val="32"/>
          <w:lang w:val="en-US" w:eastAsia="zh-CN"/>
        </w:rPr>
        <w:t>36</w:t>
      </w:r>
      <w:r>
        <w:rPr>
          <w:rFonts w:ascii="Times New Roman" w:hAnsi="Times New Roman" w:eastAsia="仿宋_GB2312"/>
          <w:color w:val="auto"/>
          <w:kern w:val="0"/>
          <w:sz w:val="32"/>
          <w:szCs w:val="32"/>
        </w:rPr>
        <w:t>个，比2013年末下降</w:t>
      </w:r>
      <w:r>
        <w:rPr>
          <w:rFonts w:hint="eastAsia" w:ascii="Times New Roman" w:hAnsi="Times New Roman" w:eastAsia="仿宋_GB2312"/>
          <w:color w:val="auto"/>
          <w:kern w:val="0"/>
          <w:sz w:val="32"/>
          <w:szCs w:val="32"/>
          <w:lang w:val="en-US" w:eastAsia="zh-CN"/>
        </w:rPr>
        <w:t xml:space="preserve">5.3 </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从业人员</w:t>
      </w:r>
      <w:r>
        <w:rPr>
          <w:rFonts w:hint="eastAsia" w:ascii="Times New Roman" w:hAnsi="Times New Roman" w:eastAsia="仿宋_GB2312"/>
          <w:color w:val="auto"/>
          <w:kern w:val="0"/>
          <w:sz w:val="32"/>
          <w:szCs w:val="32"/>
          <w:lang w:val="en-US" w:eastAsia="zh-CN"/>
        </w:rPr>
        <w:t>1816</w:t>
      </w:r>
      <w:r>
        <w:rPr>
          <w:rFonts w:ascii="Times New Roman" w:hAnsi="Times New Roman" w:eastAsia="仿宋_GB2312"/>
          <w:color w:val="auto"/>
          <w:kern w:val="0"/>
          <w:sz w:val="32"/>
          <w:szCs w:val="32"/>
        </w:rPr>
        <w:t>人，比2013年末增长</w:t>
      </w:r>
      <w:r>
        <w:rPr>
          <w:rFonts w:hint="eastAsia" w:ascii="Times New Roman" w:hAnsi="Times New Roman" w:eastAsia="仿宋_GB2312"/>
          <w:color w:val="auto"/>
          <w:kern w:val="0"/>
          <w:sz w:val="32"/>
          <w:szCs w:val="32"/>
          <w:lang w:val="en-US" w:eastAsia="zh-CN"/>
        </w:rPr>
        <w:t xml:space="preserve">13.0 </w:t>
      </w:r>
      <w:r>
        <w:rPr>
          <w:rFonts w:ascii="Times New Roman" w:hAnsi="Times New Roman" w:eastAsia="仿宋_GB2312"/>
          <w:color w:val="auto"/>
          <w:kern w:val="0"/>
          <w:sz w:val="32"/>
          <w:szCs w:val="32"/>
        </w:rPr>
        <w:t>%。</w:t>
      </w:r>
      <w:r>
        <w:rPr>
          <w:rFonts w:ascii="Times New Roman" w:hAnsi="Times New Roman" w:eastAsia="仿宋_GB2312"/>
          <w:color w:val="auto"/>
          <w:kern w:val="0"/>
          <w:sz w:val="32"/>
          <w:szCs w:val="32"/>
        </w:rPr>
        <w:tab/>
      </w:r>
    </w:p>
    <w:p>
      <w:p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（二）主要经济指标。</w:t>
      </w:r>
    </w:p>
    <w:p>
      <w:pPr>
        <w:spacing w:line="586" w:lineRule="exact"/>
        <w:ind w:firstLine="640" w:firstLineChars="200"/>
        <w:rPr>
          <w:rFonts w:ascii="Times New Roman" w:hAnsi="Times New Roman" w:eastAsia="仿宋_GB2312"/>
          <w:color w:val="FF0000"/>
          <w:kern w:val="0"/>
          <w:sz w:val="32"/>
          <w:szCs w:val="32"/>
        </w:rPr>
      </w:pPr>
      <w:r>
        <w:rPr>
          <w:rFonts w:ascii="Times New Roman" w:hAnsi="Times New Roman" w:eastAsia="仿宋_GB2312"/>
          <w:color w:val="auto"/>
          <w:kern w:val="0"/>
          <w:sz w:val="32"/>
          <w:szCs w:val="32"/>
        </w:rPr>
        <w:t>2018年末，卫生和社会工作企业法人单位资产总计</w:t>
      </w:r>
      <w:r>
        <w:rPr>
          <w:rFonts w:hint="eastAsia" w:ascii="Times New Roman" w:hAnsi="Times New Roman" w:eastAsia="仿宋_GB2312"/>
          <w:color w:val="auto"/>
          <w:kern w:val="0"/>
          <w:sz w:val="32"/>
          <w:szCs w:val="32"/>
          <w:lang w:val="en-US" w:eastAsia="zh-CN"/>
        </w:rPr>
        <w:t>3770万</w:t>
      </w:r>
      <w:r>
        <w:rPr>
          <w:rFonts w:ascii="Times New Roman" w:hAnsi="Times New Roman" w:eastAsia="仿宋_GB2312"/>
          <w:color w:val="auto"/>
          <w:kern w:val="0"/>
          <w:sz w:val="32"/>
          <w:szCs w:val="32"/>
        </w:rPr>
        <w:t>元。负债合计</w:t>
      </w:r>
      <w:r>
        <w:rPr>
          <w:rFonts w:hint="eastAsia" w:ascii="Times New Roman" w:hAnsi="Times New Roman" w:eastAsia="仿宋_GB2312"/>
          <w:color w:val="auto"/>
          <w:kern w:val="0"/>
          <w:sz w:val="32"/>
          <w:szCs w:val="32"/>
          <w:lang w:val="en-US" w:eastAsia="zh-CN"/>
        </w:rPr>
        <w:t>97.1万</w:t>
      </w:r>
      <w:r>
        <w:rPr>
          <w:rFonts w:ascii="Times New Roman" w:hAnsi="Times New Roman" w:eastAsia="仿宋_GB2312"/>
          <w:color w:val="auto"/>
          <w:kern w:val="0"/>
          <w:sz w:val="32"/>
          <w:szCs w:val="32"/>
        </w:rPr>
        <w:t>元。全年实现营业收入</w:t>
      </w:r>
      <w:r>
        <w:rPr>
          <w:rFonts w:hint="eastAsia" w:ascii="Times New Roman" w:hAnsi="Times New Roman" w:eastAsia="仿宋_GB2312"/>
          <w:color w:val="auto"/>
          <w:kern w:val="0"/>
          <w:sz w:val="32"/>
          <w:szCs w:val="32"/>
          <w:lang w:val="en-US" w:eastAsia="zh-CN"/>
        </w:rPr>
        <w:t>683万</w:t>
      </w:r>
      <w:r>
        <w:rPr>
          <w:rFonts w:ascii="Times New Roman" w:hAnsi="Times New Roman" w:eastAsia="仿宋_GB2312"/>
          <w:color w:val="auto"/>
          <w:kern w:val="0"/>
          <w:sz w:val="32"/>
          <w:szCs w:val="32"/>
        </w:rPr>
        <w:t>元</w:t>
      </w:r>
      <w:r>
        <w:rPr>
          <w:rFonts w:hint="eastAsia" w:ascii="Times New Roman" w:hAnsi="Times New Roman" w:eastAsia="仿宋_GB2312"/>
          <w:color w:val="auto"/>
          <w:kern w:val="0"/>
          <w:sz w:val="32"/>
          <w:szCs w:val="32"/>
          <w:lang w:eastAsia="zh-CN"/>
        </w:rPr>
        <w:t>。</w:t>
      </w:r>
      <w:r>
        <w:rPr>
          <w:rFonts w:ascii="Times New Roman" w:hAnsi="Times New Roman" w:eastAsia="仿宋_GB2312"/>
          <w:color w:val="auto"/>
          <w:kern w:val="0"/>
          <w:sz w:val="32"/>
          <w:szCs w:val="32"/>
        </w:rPr>
        <w:tab/>
      </w:r>
      <w:r>
        <w:rPr>
          <w:rFonts w:ascii="Times New Roman" w:hAnsi="Times New Roman" w:eastAsia="仿宋_GB2312"/>
          <w:color w:val="auto"/>
          <w:kern w:val="0"/>
          <w:sz w:val="32"/>
          <w:szCs w:val="32"/>
        </w:rPr>
        <w:t xml:space="preserve"> </w:t>
      </w:r>
      <w:r>
        <w:rPr>
          <w:rFonts w:ascii="Times New Roman" w:hAnsi="Times New Roman" w:eastAsia="仿宋_GB2312"/>
          <w:color w:val="FF0000"/>
          <w:kern w:val="0"/>
          <w:sz w:val="32"/>
          <w:szCs w:val="32"/>
        </w:rPr>
        <w:t xml:space="preserve"> </w:t>
      </w:r>
      <w:r>
        <w:rPr>
          <w:rFonts w:ascii="Times New Roman" w:hAnsi="Times New Roman" w:eastAsia="仿宋_GB2312"/>
          <w:color w:val="FF0000"/>
          <w:kern w:val="0"/>
          <w:sz w:val="32"/>
          <w:szCs w:val="32"/>
        </w:rPr>
        <w:tab/>
      </w:r>
      <w:r>
        <w:rPr>
          <w:rFonts w:ascii="Times New Roman" w:hAnsi="Times New Roman" w:eastAsia="仿宋_GB2312"/>
          <w:color w:val="auto"/>
          <w:spacing w:val="8"/>
          <w:kern w:val="0"/>
          <w:sz w:val="32"/>
          <w:szCs w:val="32"/>
        </w:rPr>
        <w:t>行政事业及非企业法人单位年末资产</w:t>
      </w:r>
      <w:r>
        <w:rPr>
          <w:rFonts w:hint="eastAsia" w:ascii="Times New Roman" w:hAnsi="Times New Roman" w:eastAsia="仿宋_GB2312"/>
          <w:color w:val="auto"/>
          <w:spacing w:val="8"/>
          <w:kern w:val="0"/>
          <w:sz w:val="32"/>
          <w:szCs w:val="32"/>
          <w:lang w:val="en-US" w:eastAsia="zh-CN"/>
        </w:rPr>
        <w:t>66831.4</w:t>
      </w:r>
      <w:r>
        <w:rPr>
          <w:rFonts w:ascii="Times New Roman" w:hAnsi="Times New Roman" w:eastAsia="仿宋_GB2312"/>
          <w:color w:val="auto"/>
          <w:spacing w:val="8"/>
          <w:sz w:val="32"/>
          <w:szCs w:val="32"/>
        </w:rPr>
        <w:t xml:space="preserve"> </w:t>
      </w:r>
      <w:r>
        <w:rPr>
          <w:rFonts w:hint="eastAsia" w:ascii="Times New Roman" w:hAnsi="Times New Roman" w:eastAsia="仿宋_GB2312"/>
          <w:color w:val="auto"/>
          <w:spacing w:val="8"/>
          <w:kern w:val="0"/>
          <w:sz w:val="32"/>
          <w:szCs w:val="32"/>
          <w:lang w:eastAsia="zh-CN"/>
        </w:rPr>
        <w:t>万</w:t>
      </w:r>
      <w:r>
        <w:rPr>
          <w:rFonts w:ascii="Times New Roman" w:hAnsi="Times New Roman" w:eastAsia="仿宋_GB2312"/>
          <w:color w:val="auto"/>
          <w:spacing w:val="8"/>
          <w:kern w:val="0"/>
          <w:sz w:val="32"/>
          <w:szCs w:val="32"/>
        </w:rPr>
        <w:t>元</w:t>
      </w:r>
      <w:r>
        <w:rPr>
          <w:rFonts w:hint="eastAsia" w:ascii="Times New Roman" w:hAnsi="Times New Roman" w:eastAsia="仿宋_GB2312"/>
          <w:color w:val="auto"/>
          <w:spacing w:val="8"/>
          <w:kern w:val="0"/>
          <w:sz w:val="32"/>
          <w:szCs w:val="32"/>
          <w:lang w:eastAsia="zh-CN"/>
        </w:rPr>
        <w:t>。</w:t>
      </w:r>
      <w:r>
        <w:rPr>
          <w:rFonts w:ascii="Times New Roman" w:hAnsi="Times New Roman" w:eastAsia="仿宋_GB2312"/>
          <w:color w:val="auto"/>
          <w:kern w:val="0"/>
          <w:sz w:val="32"/>
          <w:szCs w:val="32"/>
        </w:rPr>
        <w:t>本年支出（费用）合计</w:t>
      </w:r>
      <w:r>
        <w:rPr>
          <w:rFonts w:hint="eastAsia" w:ascii="Times New Roman" w:hAnsi="Times New Roman" w:eastAsia="仿宋_GB2312"/>
          <w:color w:val="auto"/>
          <w:kern w:val="0"/>
          <w:sz w:val="32"/>
          <w:szCs w:val="32"/>
          <w:lang w:val="en-US" w:eastAsia="zh-CN"/>
        </w:rPr>
        <w:t>50892.3万</w:t>
      </w:r>
      <w:r>
        <w:rPr>
          <w:rFonts w:ascii="Times New Roman" w:hAnsi="Times New Roman" w:eastAsia="仿宋_GB2312"/>
          <w:color w:val="auto"/>
          <w:kern w:val="0"/>
          <w:sz w:val="32"/>
          <w:szCs w:val="32"/>
        </w:rPr>
        <w:t xml:space="preserve">元。 </w:t>
      </w:r>
    </w:p>
    <w:p>
      <w:pPr>
        <w:spacing w:line="586" w:lineRule="exact"/>
        <w:ind w:firstLine="640" w:firstLineChars="200"/>
        <w:rPr>
          <w:rFonts w:ascii="Times New Roman" w:hAnsi="Times New Roman" w:eastAsia="黑体"/>
          <w:color w:val="auto"/>
          <w:kern w:val="0"/>
          <w:sz w:val="32"/>
          <w:szCs w:val="32"/>
        </w:rPr>
      </w:pPr>
      <w:r>
        <w:rPr>
          <w:rFonts w:ascii="Times New Roman" w:hAnsi="Times New Roman" w:eastAsia="黑体"/>
          <w:color w:val="auto"/>
          <w:kern w:val="0"/>
          <w:sz w:val="32"/>
          <w:szCs w:val="32"/>
        </w:rPr>
        <w:t>六、文化、体育和娱乐业</w:t>
      </w:r>
    </w:p>
    <w:p>
      <w:p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（一）法人单位数和从业人员。</w:t>
      </w:r>
    </w:p>
    <w:p>
      <w:pPr>
        <w:spacing w:line="586" w:lineRule="exact"/>
        <w:ind w:firstLine="608" w:firstLineChars="200"/>
        <w:rPr>
          <w:rFonts w:ascii="Times New Roman" w:hAnsi="Times New Roman" w:eastAsia="仿宋_GB2312"/>
          <w:color w:val="auto"/>
          <w:kern w:val="0"/>
          <w:sz w:val="32"/>
          <w:szCs w:val="32"/>
        </w:rPr>
      </w:pPr>
      <w:r>
        <w:rPr>
          <w:rFonts w:ascii="Times New Roman" w:hAnsi="Times New Roman" w:eastAsia="仿宋_GB2312"/>
          <w:color w:val="auto"/>
          <w:spacing w:val="-8"/>
          <w:kern w:val="0"/>
          <w:sz w:val="32"/>
          <w:szCs w:val="32"/>
        </w:rPr>
        <w:t>2018年末，全市共有文化、体育和娱乐业法人单位</w:t>
      </w:r>
      <w:r>
        <w:rPr>
          <w:rFonts w:hint="eastAsia" w:ascii="Times New Roman" w:hAnsi="Times New Roman" w:eastAsia="仿宋_GB2312"/>
          <w:color w:val="auto"/>
          <w:spacing w:val="-8"/>
          <w:kern w:val="0"/>
          <w:sz w:val="32"/>
          <w:szCs w:val="32"/>
          <w:lang w:val="en-US" w:eastAsia="zh-CN"/>
        </w:rPr>
        <w:t>34</w:t>
      </w:r>
      <w:r>
        <w:rPr>
          <w:rFonts w:ascii="Times New Roman" w:hAnsi="Times New Roman" w:eastAsia="仿宋_GB2312"/>
          <w:color w:val="auto"/>
          <w:kern w:val="0"/>
          <w:sz w:val="32"/>
          <w:szCs w:val="32"/>
        </w:rPr>
        <w:t xml:space="preserve">个，从业人员 </w:t>
      </w:r>
      <w:r>
        <w:rPr>
          <w:rFonts w:hint="eastAsia" w:ascii="Times New Roman" w:hAnsi="Times New Roman" w:eastAsia="仿宋_GB2312"/>
          <w:color w:val="auto"/>
          <w:kern w:val="0"/>
          <w:sz w:val="32"/>
          <w:szCs w:val="32"/>
          <w:lang w:val="en-US" w:eastAsia="zh-CN"/>
        </w:rPr>
        <w:t>287</w:t>
      </w:r>
      <w:r>
        <w:rPr>
          <w:rFonts w:ascii="Times New Roman" w:hAnsi="Times New Roman" w:eastAsia="仿宋_GB2312"/>
          <w:color w:val="auto"/>
          <w:kern w:val="0"/>
          <w:sz w:val="32"/>
          <w:szCs w:val="32"/>
        </w:rPr>
        <w:t>人，分别比2013年末增长</w:t>
      </w:r>
      <w:r>
        <w:rPr>
          <w:rFonts w:hint="eastAsia" w:ascii="Times New Roman" w:hAnsi="Times New Roman" w:eastAsia="仿宋_GB2312"/>
          <w:color w:val="auto"/>
          <w:kern w:val="0"/>
          <w:sz w:val="32"/>
          <w:szCs w:val="32"/>
          <w:lang w:val="en-US" w:eastAsia="zh-CN"/>
        </w:rPr>
        <w:t>21.4</w:t>
      </w:r>
      <w:r>
        <w:rPr>
          <w:rFonts w:ascii="Times New Roman" w:hAnsi="Times New Roman" w:eastAsia="仿宋_GB2312"/>
          <w:color w:val="auto"/>
          <w:kern w:val="0"/>
          <w:sz w:val="32"/>
          <w:szCs w:val="32"/>
        </w:rPr>
        <w:t>%和</w:t>
      </w:r>
      <w:r>
        <w:rPr>
          <w:rFonts w:hint="eastAsia" w:ascii="Times New Roman" w:hAnsi="Times New Roman" w:eastAsia="仿宋_GB2312"/>
          <w:color w:val="auto"/>
          <w:kern w:val="0"/>
          <w:sz w:val="32"/>
          <w:szCs w:val="32"/>
          <w:lang w:val="en-US" w:eastAsia="zh-CN"/>
        </w:rPr>
        <w:t>11.6</w:t>
      </w:r>
      <w:r>
        <w:rPr>
          <w:rFonts w:ascii="Times New Roman" w:hAnsi="Times New Roman" w:eastAsia="仿宋_GB2312"/>
          <w:color w:val="auto"/>
          <w:kern w:val="0"/>
          <w:sz w:val="32"/>
          <w:szCs w:val="32"/>
        </w:rPr>
        <w:t>%。其中，企业法人单位</w:t>
      </w:r>
      <w:r>
        <w:rPr>
          <w:rFonts w:ascii="Times New Roman" w:hAnsi="Times New Roman" w:eastAsia="仿宋_GB2312"/>
          <w:color w:val="auto"/>
          <w:sz w:val="32"/>
          <w:szCs w:val="32"/>
        </w:rPr>
        <w:t xml:space="preserve"> </w:t>
      </w:r>
      <w:r>
        <w:rPr>
          <w:rFonts w:hint="eastAsia" w:ascii="Times New Roman" w:hAnsi="Times New Roman" w:eastAsia="楷体_GB2312"/>
          <w:color w:val="auto"/>
          <w:kern w:val="0"/>
          <w:sz w:val="32"/>
          <w:szCs w:val="32"/>
          <w:lang w:val="en-US" w:eastAsia="zh-CN"/>
        </w:rPr>
        <w:t>28</w:t>
      </w:r>
      <w:r>
        <w:rPr>
          <w:rFonts w:ascii="Times New Roman" w:hAnsi="Times New Roman" w:eastAsia="仿宋_GB2312"/>
          <w:color w:val="auto"/>
          <w:kern w:val="0"/>
          <w:sz w:val="32"/>
          <w:szCs w:val="32"/>
        </w:rPr>
        <w:t>个，从业人员</w:t>
      </w:r>
      <w:r>
        <w:rPr>
          <w:rFonts w:hint="eastAsia" w:ascii="Times New Roman" w:hAnsi="Times New Roman" w:eastAsia="楷体_GB2312"/>
          <w:color w:val="auto"/>
          <w:kern w:val="0"/>
          <w:sz w:val="32"/>
          <w:szCs w:val="32"/>
          <w:lang w:val="en-US" w:eastAsia="zh-CN"/>
        </w:rPr>
        <w:t>287</w:t>
      </w:r>
      <w:r>
        <w:rPr>
          <w:rFonts w:ascii="Times New Roman" w:hAnsi="Times New Roman" w:eastAsia="仿宋_GB2312"/>
          <w:color w:val="auto"/>
          <w:kern w:val="0"/>
          <w:sz w:val="32"/>
          <w:szCs w:val="32"/>
        </w:rPr>
        <w:t>人，分别比2013年末增长</w:t>
      </w:r>
      <w:r>
        <w:rPr>
          <w:rFonts w:hint="eastAsia" w:ascii="Times New Roman" w:hAnsi="Times New Roman" w:eastAsia="仿宋_GB2312"/>
          <w:color w:val="auto"/>
          <w:kern w:val="0"/>
          <w:sz w:val="32"/>
          <w:szCs w:val="32"/>
          <w:lang w:val="en-US" w:eastAsia="zh-CN"/>
        </w:rPr>
        <w:t>100.0</w:t>
      </w:r>
      <w:r>
        <w:rPr>
          <w:rFonts w:ascii="Times New Roman" w:hAnsi="Times New Roman" w:eastAsia="仿宋_GB2312"/>
          <w:color w:val="auto"/>
          <w:kern w:val="0"/>
          <w:sz w:val="32"/>
          <w:szCs w:val="32"/>
        </w:rPr>
        <w:t>%和</w:t>
      </w:r>
      <w:r>
        <w:rPr>
          <w:rFonts w:hint="eastAsia" w:ascii="Times New Roman" w:hAnsi="Times New Roman" w:eastAsia="仿宋_GB2312"/>
          <w:color w:val="auto"/>
          <w:kern w:val="0"/>
          <w:sz w:val="32"/>
          <w:szCs w:val="32"/>
          <w:lang w:val="en-US" w:eastAsia="zh-CN"/>
        </w:rPr>
        <w:t>105.0</w:t>
      </w:r>
      <w:r>
        <w:rPr>
          <w:rFonts w:ascii="Times New Roman" w:hAnsi="Times New Roman" w:eastAsia="仿宋_GB2312"/>
          <w:color w:val="auto"/>
          <w:kern w:val="0"/>
          <w:sz w:val="32"/>
          <w:szCs w:val="32"/>
        </w:rPr>
        <w:t>%。</w:t>
      </w:r>
      <w:r>
        <w:rPr>
          <w:rFonts w:ascii="Times New Roman" w:hAnsi="Times New Roman" w:eastAsia="仿宋_GB2312"/>
          <w:color w:val="auto"/>
          <w:kern w:val="0"/>
          <w:sz w:val="32"/>
          <w:szCs w:val="32"/>
        </w:rPr>
        <w:tab/>
      </w:r>
      <w:r>
        <w:rPr>
          <w:rFonts w:ascii="Times New Roman" w:hAnsi="Times New Roman" w:eastAsia="仿宋_GB2312"/>
          <w:color w:val="auto"/>
          <w:kern w:val="0"/>
          <w:sz w:val="32"/>
          <w:szCs w:val="32"/>
        </w:rPr>
        <w:t xml:space="preserve"> </w:t>
      </w:r>
    </w:p>
    <w:p>
      <w:pPr>
        <w:spacing w:line="586" w:lineRule="exact"/>
        <w:ind w:firstLine="640" w:firstLineChars="200"/>
        <w:rPr>
          <w:rFonts w:ascii="Times New Roman" w:hAnsi="Times New Roman" w:eastAsia="楷体_GB2312"/>
          <w:color w:val="auto"/>
          <w:kern w:val="0"/>
          <w:sz w:val="32"/>
          <w:szCs w:val="32"/>
        </w:rPr>
      </w:pPr>
      <w:r>
        <w:rPr>
          <w:rFonts w:ascii="Times New Roman" w:hAnsi="Times New Roman" w:eastAsia="楷体_GB2312"/>
          <w:color w:val="auto"/>
          <w:kern w:val="0"/>
          <w:sz w:val="32"/>
          <w:szCs w:val="32"/>
        </w:rPr>
        <w:t>（二）主要经济指标。</w:t>
      </w:r>
      <w:r>
        <w:rPr>
          <w:rFonts w:ascii="Times New Roman" w:hAnsi="Times New Roman" w:eastAsia="楷体_GB2312"/>
          <w:color w:val="auto"/>
          <w:kern w:val="0"/>
          <w:sz w:val="32"/>
          <w:szCs w:val="32"/>
        </w:rPr>
        <w:tab/>
      </w:r>
      <w:r>
        <w:rPr>
          <w:rFonts w:ascii="Times New Roman" w:hAnsi="Times New Roman" w:eastAsia="楷体_GB2312"/>
          <w:color w:val="auto"/>
          <w:kern w:val="0"/>
          <w:sz w:val="32"/>
          <w:szCs w:val="32"/>
        </w:rPr>
        <w:tab/>
      </w:r>
      <w:r>
        <w:rPr>
          <w:rFonts w:ascii="Times New Roman" w:hAnsi="Times New Roman" w:eastAsia="楷体_GB2312"/>
          <w:color w:val="auto"/>
          <w:kern w:val="0"/>
          <w:sz w:val="32"/>
          <w:szCs w:val="32"/>
        </w:rPr>
        <w:t xml:space="preserve"> </w:t>
      </w:r>
    </w:p>
    <w:p>
      <w:pPr>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2018年末，文化、体育和娱乐业企业法人单位资产总计</w:t>
      </w:r>
      <w:r>
        <w:rPr>
          <w:rFonts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val="en-US" w:eastAsia="zh-CN"/>
        </w:rPr>
        <w:t>8667.6万</w:t>
      </w:r>
      <w:r>
        <w:rPr>
          <w:rFonts w:ascii="Times New Roman" w:hAnsi="Times New Roman" w:eastAsia="仿宋_GB2312"/>
          <w:color w:val="auto"/>
          <w:kern w:val="0"/>
          <w:sz w:val="32"/>
          <w:szCs w:val="32"/>
        </w:rPr>
        <w:t>元，比2013年末</w:t>
      </w:r>
      <w:r>
        <w:rPr>
          <w:rFonts w:hint="eastAsia" w:ascii="Times New Roman" w:hAnsi="Times New Roman" w:eastAsia="仿宋_GB2312"/>
          <w:color w:val="auto"/>
          <w:kern w:val="0"/>
          <w:sz w:val="32"/>
          <w:szCs w:val="32"/>
          <w:lang w:eastAsia="zh-CN"/>
        </w:rPr>
        <w:t>增长</w:t>
      </w:r>
      <w:r>
        <w:rPr>
          <w:rFonts w:hint="eastAsia" w:ascii="Times New Roman" w:hAnsi="Times New Roman" w:eastAsia="仿宋_GB2312"/>
          <w:color w:val="auto"/>
          <w:kern w:val="0"/>
          <w:sz w:val="32"/>
          <w:szCs w:val="32"/>
          <w:lang w:val="en-US" w:eastAsia="zh-CN"/>
        </w:rPr>
        <w:t>1344.6</w:t>
      </w:r>
      <w:r>
        <w:rPr>
          <w:rFonts w:ascii="Times New Roman" w:hAnsi="Times New Roman" w:eastAsia="仿宋_GB2312"/>
          <w:color w:val="auto"/>
          <w:kern w:val="0"/>
          <w:sz w:val="32"/>
          <w:szCs w:val="32"/>
        </w:rPr>
        <w:t>%。负债合计</w:t>
      </w:r>
      <w:r>
        <w:rPr>
          <w:rFonts w:hint="eastAsia" w:ascii="Times New Roman" w:hAnsi="Times New Roman" w:eastAsia="楷体_GB2312"/>
          <w:color w:val="auto"/>
          <w:kern w:val="0"/>
          <w:sz w:val="32"/>
          <w:szCs w:val="32"/>
          <w:lang w:val="en-US" w:eastAsia="zh-CN"/>
        </w:rPr>
        <w:t>644.9万</w:t>
      </w:r>
      <w:r>
        <w:rPr>
          <w:rFonts w:ascii="Times New Roman" w:hAnsi="Times New Roman" w:eastAsia="仿宋_GB2312"/>
          <w:color w:val="auto"/>
          <w:kern w:val="0"/>
          <w:sz w:val="32"/>
          <w:szCs w:val="32"/>
        </w:rPr>
        <w:t>元。全年实现营业收入</w:t>
      </w:r>
      <w:r>
        <w:rPr>
          <w:rFonts w:hint="eastAsia" w:ascii="Times New Roman" w:hAnsi="Times New Roman" w:eastAsia="仿宋_GB2312"/>
          <w:color w:val="auto"/>
          <w:kern w:val="0"/>
          <w:sz w:val="32"/>
          <w:szCs w:val="32"/>
          <w:lang w:val="en-US" w:eastAsia="zh-CN"/>
        </w:rPr>
        <w:t>1753.1万</w:t>
      </w:r>
      <w:r>
        <w:rPr>
          <w:rFonts w:ascii="Times New Roman" w:hAnsi="Times New Roman" w:eastAsia="仿宋_GB2312"/>
          <w:color w:val="auto"/>
          <w:kern w:val="0"/>
          <w:sz w:val="32"/>
          <w:szCs w:val="32"/>
        </w:rPr>
        <w:t>元。</w:t>
      </w:r>
      <w:r>
        <w:rPr>
          <w:rFonts w:ascii="Times New Roman" w:hAnsi="Times New Roman" w:eastAsia="仿宋_GB2312"/>
          <w:color w:val="auto"/>
          <w:kern w:val="0"/>
          <w:sz w:val="32"/>
          <w:szCs w:val="32"/>
        </w:rPr>
        <w:tab/>
      </w:r>
    </w:p>
    <w:p>
      <w:pPr>
        <w:spacing w:line="586" w:lineRule="exact"/>
        <w:ind w:firstLine="616" w:firstLineChars="200"/>
        <w:rPr>
          <w:rFonts w:ascii="Times New Roman" w:hAnsi="Times New Roman" w:eastAsia="仿宋_GB2312"/>
          <w:color w:val="FF0000"/>
          <w:kern w:val="0"/>
          <w:sz w:val="32"/>
          <w:szCs w:val="32"/>
        </w:rPr>
      </w:pPr>
      <w:r>
        <w:rPr>
          <w:rFonts w:ascii="Times New Roman" w:hAnsi="Times New Roman" w:eastAsia="仿宋_GB2312"/>
          <w:color w:val="auto"/>
          <w:spacing w:val="-6"/>
          <w:kern w:val="0"/>
          <w:sz w:val="32"/>
          <w:szCs w:val="32"/>
        </w:rPr>
        <w:t>行政事业及非企业法人单位年末资产</w:t>
      </w:r>
      <w:r>
        <w:rPr>
          <w:rFonts w:hint="eastAsia" w:ascii="Times New Roman" w:hAnsi="Times New Roman" w:eastAsia="仿宋_GB2312"/>
          <w:color w:val="auto"/>
          <w:spacing w:val="-6"/>
          <w:sz w:val="32"/>
          <w:szCs w:val="32"/>
          <w:lang w:val="en-US" w:eastAsia="zh-CN"/>
        </w:rPr>
        <w:t>0</w:t>
      </w:r>
      <w:r>
        <w:rPr>
          <w:rFonts w:ascii="Times New Roman" w:hAnsi="Times New Roman" w:eastAsia="仿宋_GB2312"/>
          <w:color w:val="auto"/>
          <w:spacing w:val="-6"/>
          <w:kern w:val="0"/>
          <w:sz w:val="32"/>
          <w:szCs w:val="32"/>
        </w:rPr>
        <w:t>元</w:t>
      </w:r>
      <w:r>
        <w:rPr>
          <w:rFonts w:hint="eastAsia" w:ascii="Times New Roman" w:hAnsi="Times New Roman" w:eastAsia="仿宋_GB2312"/>
          <w:color w:val="auto"/>
          <w:spacing w:val="-6"/>
          <w:kern w:val="0"/>
          <w:sz w:val="32"/>
          <w:szCs w:val="32"/>
          <w:lang w:eastAsia="zh-CN"/>
        </w:rPr>
        <w:t>。</w:t>
      </w:r>
      <w:r>
        <w:rPr>
          <w:rFonts w:ascii="Times New Roman" w:hAnsi="Times New Roman" w:eastAsia="仿宋_GB2312"/>
          <w:color w:val="auto"/>
          <w:kern w:val="0"/>
          <w:sz w:val="32"/>
          <w:szCs w:val="32"/>
        </w:rPr>
        <w:t>本年支出（费用）合计</w:t>
      </w:r>
      <w:r>
        <w:rPr>
          <w:rFonts w:hint="eastAsia" w:ascii="Times New Roman" w:hAnsi="Times New Roman" w:eastAsia="仿宋_GB2312"/>
          <w:color w:val="auto"/>
          <w:kern w:val="0"/>
          <w:sz w:val="32"/>
          <w:szCs w:val="32"/>
          <w:lang w:val="en-US" w:eastAsia="zh-CN"/>
        </w:rPr>
        <w:t>0</w:t>
      </w:r>
      <w:r>
        <w:rPr>
          <w:rFonts w:ascii="Times New Roman" w:hAnsi="Times New Roman" w:eastAsia="仿宋_GB2312"/>
          <w:color w:val="auto"/>
          <w:kern w:val="0"/>
          <w:sz w:val="32"/>
          <w:szCs w:val="32"/>
        </w:rPr>
        <w:t>元。</w:t>
      </w:r>
    </w:p>
    <w:p>
      <w:pPr>
        <w:spacing w:line="586" w:lineRule="exact"/>
        <w:ind w:firstLine="640" w:firstLineChars="200"/>
        <w:rPr>
          <w:rFonts w:ascii="Times New Roman" w:hAnsi="Times New Roman" w:eastAsia="黑体"/>
          <w:color w:val="auto"/>
          <w:kern w:val="0"/>
          <w:sz w:val="32"/>
          <w:szCs w:val="32"/>
        </w:rPr>
      </w:pPr>
      <w:r>
        <w:rPr>
          <w:rFonts w:ascii="Times New Roman" w:hAnsi="Times New Roman" w:eastAsia="黑体"/>
          <w:color w:val="auto"/>
          <w:kern w:val="0"/>
          <w:sz w:val="32"/>
          <w:szCs w:val="32"/>
        </w:rPr>
        <w:t>七、公共管理、社会保障和社会组织</w:t>
      </w:r>
    </w:p>
    <w:p>
      <w:pPr>
        <w:widowControl/>
        <w:spacing w:line="586"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2018年末，全市共有公共管理、社会保障和社会组织法人单位</w:t>
      </w:r>
      <w:r>
        <w:rPr>
          <w:rFonts w:hint="eastAsia" w:ascii="Times New Roman" w:hAnsi="Times New Roman" w:eastAsia="仿宋_GB2312"/>
          <w:color w:val="auto"/>
          <w:kern w:val="0"/>
          <w:sz w:val="32"/>
          <w:szCs w:val="32"/>
          <w:lang w:val="en-US" w:eastAsia="zh-CN"/>
        </w:rPr>
        <w:t>476</w:t>
      </w:r>
      <w:r>
        <w:rPr>
          <w:rFonts w:ascii="Times New Roman" w:hAnsi="Times New Roman" w:eastAsia="仿宋_GB2312"/>
          <w:color w:val="auto"/>
          <w:kern w:val="0"/>
          <w:sz w:val="32"/>
          <w:szCs w:val="32"/>
        </w:rPr>
        <w:t>个，比2013年末</w:t>
      </w:r>
      <w:r>
        <w:rPr>
          <w:rFonts w:hint="eastAsia" w:ascii="Times New Roman" w:hAnsi="Times New Roman" w:eastAsia="仿宋_GB2312"/>
          <w:color w:val="auto"/>
          <w:kern w:val="0"/>
          <w:sz w:val="32"/>
          <w:szCs w:val="32"/>
          <w:lang w:eastAsia="zh-CN"/>
        </w:rPr>
        <w:t>增长</w:t>
      </w:r>
      <w:r>
        <w:rPr>
          <w:rFonts w:hint="eastAsia" w:ascii="Times New Roman" w:hAnsi="Times New Roman" w:eastAsia="仿宋_GB2312"/>
          <w:color w:val="auto"/>
          <w:kern w:val="0"/>
          <w:sz w:val="32"/>
          <w:szCs w:val="32"/>
          <w:lang w:val="en-US" w:eastAsia="zh-CN"/>
        </w:rPr>
        <w:t>54.0</w:t>
      </w:r>
      <w:r>
        <w:rPr>
          <w:rFonts w:ascii="Times New Roman" w:hAnsi="Times New Roman" w:eastAsia="仿宋_GB2312"/>
          <w:color w:val="auto"/>
          <w:kern w:val="0"/>
          <w:sz w:val="32"/>
          <w:szCs w:val="32"/>
        </w:rPr>
        <w:t>%，从业人员</w:t>
      </w:r>
      <w:r>
        <w:rPr>
          <w:rFonts w:hint="eastAsia" w:ascii="Times New Roman" w:hAnsi="Times New Roman" w:eastAsia="仿宋_GB2312"/>
          <w:color w:val="auto"/>
          <w:kern w:val="0"/>
          <w:sz w:val="28"/>
          <w:szCs w:val="28"/>
          <w:lang w:val="en-US" w:eastAsia="zh-CN"/>
        </w:rPr>
        <w:t>5370</w:t>
      </w:r>
      <w:r>
        <w:rPr>
          <w:rFonts w:ascii="Times New Roman" w:hAnsi="Times New Roman" w:eastAsia="仿宋_GB2312"/>
          <w:color w:val="auto"/>
          <w:kern w:val="0"/>
          <w:sz w:val="32"/>
          <w:szCs w:val="32"/>
        </w:rPr>
        <w:t>人，</w:t>
      </w:r>
      <w:r>
        <w:rPr>
          <w:rFonts w:hint="eastAsia" w:ascii="Times New Roman" w:hAnsi="Times New Roman" w:eastAsia="仿宋_GB2312"/>
          <w:color w:val="auto"/>
          <w:kern w:val="0"/>
          <w:sz w:val="32"/>
          <w:szCs w:val="32"/>
          <w:lang w:eastAsia="zh-CN"/>
        </w:rPr>
        <w:t>增长</w:t>
      </w:r>
      <w:r>
        <w:rPr>
          <w:rFonts w:hint="eastAsia" w:ascii="Times New Roman" w:hAnsi="Times New Roman" w:eastAsia="仿宋_GB2312"/>
          <w:color w:val="auto"/>
          <w:kern w:val="0"/>
          <w:sz w:val="32"/>
          <w:szCs w:val="32"/>
          <w:lang w:val="en-US" w:eastAsia="zh-CN"/>
        </w:rPr>
        <w:t>16.3</w:t>
      </w:r>
      <w:r>
        <w:rPr>
          <w:rFonts w:ascii="Times New Roman" w:hAnsi="Times New Roman" w:eastAsia="仿宋_GB2312"/>
          <w:color w:val="auto"/>
          <w:kern w:val="0"/>
          <w:sz w:val="32"/>
          <w:szCs w:val="32"/>
        </w:rPr>
        <w:t>%。行政事业及非企业法人单位的本年支出（费用）合计</w:t>
      </w:r>
      <w:r>
        <w:rPr>
          <w:rFonts w:hint="eastAsia" w:ascii="Times New Roman" w:hAnsi="Times New Roman" w:eastAsia="仿宋_GB2312"/>
          <w:color w:val="auto"/>
          <w:kern w:val="0"/>
          <w:sz w:val="32"/>
          <w:szCs w:val="32"/>
          <w:lang w:val="en-US" w:eastAsia="zh-CN"/>
        </w:rPr>
        <w:t>157114万</w:t>
      </w:r>
      <w:r>
        <w:rPr>
          <w:rFonts w:ascii="Times New Roman" w:hAnsi="Times New Roman" w:eastAsia="仿宋_GB2312"/>
          <w:color w:val="auto"/>
          <w:kern w:val="0"/>
          <w:sz w:val="32"/>
          <w:szCs w:val="32"/>
        </w:rPr>
        <w:t xml:space="preserve">元。  </w:t>
      </w:r>
    </w:p>
    <w:p>
      <w:pPr>
        <w:widowControl/>
        <w:spacing w:line="586" w:lineRule="exact"/>
        <w:ind w:firstLine="560" w:firstLineChars="200"/>
        <w:rPr>
          <w:rFonts w:ascii="Times New Roman" w:hAnsi="Times New Roman" w:eastAsia="黑体"/>
          <w:color w:val="auto"/>
          <w:kern w:val="0"/>
          <w:sz w:val="28"/>
          <w:szCs w:val="28"/>
        </w:rPr>
      </w:pPr>
      <w:r>
        <w:rPr>
          <w:rFonts w:ascii="Times New Roman" w:hAnsi="Times New Roman" w:eastAsia="黑体"/>
          <w:color w:val="auto"/>
          <w:kern w:val="0"/>
          <w:sz w:val="28"/>
          <w:szCs w:val="28"/>
        </w:rPr>
        <w:t xml:space="preserve">注释： </w:t>
      </w:r>
    </w:p>
    <w:p>
      <w:pPr>
        <w:widowControl/>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r>
        <w:rPr>
          <w:rFonts w:ascii="Times New Roman" w:hAnsi="Times New Roman" w:eastAsia="仿宋_GB2312"/>
          <w:color w:val="auto"/>
          <w:kern w:val="0"/>
          <w:sz w:val="28"/>
          <w:szCs w:val="28"/>
        </w:rPr>
        <w:tab/>
      </w:r>
      <w:r>
        <w:rPr>
          <w:rFonts w:ascii="Times New Roman" w:hAnsi="Times New Roman" w:eastAsia="仿宋_GB2312"/>
          <w:color w:val="auto"/>
          <w:kern w:val="0"/>
          <w:sz w:val="28"/>
          <w:szCs w:val="28"/>
        </w:rPr>
        <w:tab/>
      </w:r>
      <w:r>
        <w:rPr>
          <w:rFonts w:ascii="Times New Roman" w:hAnsi="Times New Roman" w:eastAsia="仿宋_GB2312"/>
          <w:color w:val="auto"/>
          <w:kern w:val="0"/>
          <w:sz w:val="28"/>
          <w:szCs w:val="28"/>
        </w:rPr>
        <w:t xml:space="preserve">  </w:t>
      </w:r>
      <w:r>
        <w:rPr>
          <w:rFonts w:ascii="Times New Roman" w:hAnsi="Times New Roman" w:eastAsia="仿宋_GB2312"/>
          <w:color w:val="auto"/>
          <w:kern w:val="0"/>
          <w:sz w:val="28"/>
          <w:szCs w:val="28"/>
        </w:rPr>
        <w:tab/>
      </w:r>
      <w:r>
        <w:rPr>
          <w:rFonts w:ascii="Times New Roman" w:hAnsi="Times New Roman" w:eastAsia="仿宋_GB2312"/>
          <w:color w:val="auto"/>
          <w:kern w:val="0"/>
          <w:sz w:val="28"/>
          <w:szCs w:val="28"/>
        </w:rPr>
        <w:t xml:space="preserve"> </w:t>
      </w:r>
    </w:p>
    <w:p>
      <w:pPr>
        <w:widowControl/>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widowControl/>
        <w:spacing w:line="586" w:lineRule="exact"/>
        <w:ind w:firstLine="560" w:firstLineChars="200"/>
        <w:rPr>
          <w:rFonts w:ascii="Times New Roman" w:hAnsi="Times New Roman" w:eastAsia="仿宋_GB2312"/>
          <w:color w:val="auto"/>
          <w:kern w:val="0"/>
          <w:sz w:val="28"/>
          <w:szCs w:val="28"/>
        </w:rPr>
      </w:pPr>
      <w:r>
        <w:rPr>
          <w:rFonts w:ascii="Times New Roman" w:hAnsi="Times New Roman" w:eastAsia="仿宋_GB2312"/>
          <w:color w:val="auto"/>
          <w:kern w:val="0"/>
          <w:sz w:val="28"/>
          <w:szCs w:val="28"/>
        </w:rPr>
        <w:t>[3]表中的合计数和部分计算数据因小数取舍而产生的误差，均未作机械调整。</w:t>
      </w:r>
    </w:p>
    <w:p>
      <w:pPr>
        <w:spacing w:line="586" w:lineRule="exact"/>
        <w:rPr>
          <w:rFonts w:ascii="Times New Roman" w:hAnsi="Times New Roman"/>
          <w:color w:val="auto"/>
          <w:szCs w:val="24"/>
        </w:rPr>
      </w:pPr>
    </w:p>
    <w:p>
      <w:pPr>
        <w:rPr>
          <w:color w:val="FF000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FZHei-B0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1B65"/>
    <w:multiLevelType w:val="multilevel"/>
    <w:tmpl w:val="12BD1B6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A5D00"/>
    <w:rsid w:val="19BB4E48"/>
    <w:rsid w:val="1E5A3273"/>
    <w:rsid w:val="256918A0"/>
    <w:rsid w:val="26940E5D"/>
    <w:rsid w:val="3A35134E"/>
    <w:rsid w:val="3A650C3D"/>
    <w:rsid w:val="50642517"/>
    <w:rsid w:val="5C3A5D00"/>
    <w:rsid w:val="5EBA39E4"/>
    <w:rsid w:val="67F24516"/>
    <w:rsid w:val="69D051C7"/>
    <w:rsid w:val="6A3F0144"/>
    <w:rsid w:val="6FEA72AE"/>
    <w:rsid w:val="768E79DF"/>
    <w:rsid w:val="787B6189"/>
    <w:rsid w:val="7DEE1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2020-04-15T00:45:00Z</dcterms:created>
  <dc:creator>pc</dc:creator>
  <cp:lastModifiedBy>pc</cp:lastModifiedBy>
  <cp:lastPrinted>2020-04-20T02:25:00Z</cp:lastPrinted>
  <dcterms:modified xsi:type="dcterms:W3CDTF">2020-04-26T03:19:52Z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