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FABE">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荔浦市2024年革命老区转移支付</w:t>
      </w:r>
    </w:p>
    <w:p w14:paraId="7F6701ED">
      <w:pPr>
        <w:spacing w:line="560" w:lineRule="exact"/>
        <w:jc w:val="center"/>
        <w:rPr>
          <w:rFonts w:ascii="方正小标宋_GBK" w:eastAsia="方正小标宋_GBK"/>
          <w:sz w:val="44"/>
          <w:szCs w:val="44"/>
        </w:rPr>
      </w:pPr>
      <w:r>
        <w:rPr>
          <w:rFonts w:hint="eastAsia" w:ascii="方正小标宋_GBK" w:eastAsia="方正小标宋_GBK"/>
          <w:sz w:val="44"/>
          <w:szCs w:val="44"/>
        </w:rPr>
        <w:t>绩效评价自评报告</w:t>
      </w:r>
    </w:p>
    <w:p w14:paraId="604ACB91">
      <w:pPr>
        <w:spacing w:line="560" w:lineRule="exact"/>
        <w:jc w:val="center"/>
        <w:rPr>
          <w:rFonts w:ascii="方正小标宋简体" w:eastAsia="方正小标宋简体"/>
          <w:sz w:val="44"/>
          <w:szCs w:val="44"/>
        </w:rPr>
      </w:pPr>
    </w:p>
    <w:p w14:paraId="43BCF5FF">
      <w:pPr>
        <w:spacing w:line="560" w:lineRule="exact"/>
        <w:ind w:left="640"/>
        <w:rPr>
          <w:rFonts w:ascii="黑体" w:hAnsi="Times New Roman" w:eastAsia="黑体" w:cs="Times New Roman"/>
          <w:sz w:val="32"/>
        </w:rPr>
      </w:pPr>
      <w:r>
        <w:rPr>
          <w:rFonts w:hint="eastAsia" w:ascii="黑体" w:hAnsi="Times New Roman" w:eastAsia="黑体" w:cs="Times New Roman"/>
          <w:sz w:val="32"/>
        </w:rPr>
        <w:t>一、</w:t>
      </w:r>
      <w:r>
        <w:rPr>
          <w:rFonts w:hint="eastAsia" w:ascii="黑体" w:hAnsi="黑体" w:eastAsia="黑体"/>
          <w:sz w:val="32"/>
        </w:rPr>
        <w:t>革命老区</w:t>
      </w:r>
      <w:r>
        <w:rPr>
          <w:rFonts w:hint="eastAsia" w:ascii="黑体" w:hAnsi="Times New Roman" w:eastAsia="黑体" w:cs="Times New Roman"/>
          <w:sz w:val="32"/>
        </w:rPr>
        <w:t>情况</w:t>
      </w:r>
    </w:p>
    <w:p w14:paraId="0271A64E">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近年来</w:t>
      </w:r>
      <w:r>
        <w:rPr>
          <w:rFonts w:ascii="仿宋_GB2312" w:hAnsi="Times New Roman" w:eastAsia="仿宋_GB2312" w:cs="Times New Roman"/>
          <w:sz w:val="32"/>
        </w:rPr>
        <w:t>,荔浦</w:t>
      </w:r>
      <w:r>
        <w:rPr>
          <w:rFonts w:hint="eastAsia" w:ascii="仿宋_GB2312" w:hAnsi="Times New Roman" w:eastAsia="仿宋_GB2312" w:cs="Times New Roman"/>
          <w:sz w:val="32"/>
        </w:rPr>
        <w:t>经济持续保持健康运行，产业经济稳步提升，特色工业发展提质增效，乡村振兴战略深入实施，生态精品城镇绽露新貌，经济社会各项事业齐头并进</w:t>
      </w:r>
      <w:r>
        <w:rPr>
          <w:rFonts w:ascii="仿宋_GB2312" w:hAnsi="Times New Roman" w:eastAsia="仿宋_GB2312" w:cs="Times New Roman"/>
          <w:sz w:val="32"/>
        </w:rPr>
        <w:t>,综合实力明显增强。</w:t>
      </w:r>
    </w:p>
    <w:p w14:paraId="2B587C74">
      <w:pPr>
        <w:spacing w:line="560" w:lineRule="exact"/>
        <w:ind w:firstLine="640" w:firstLineChars="200"/>
        <w:rPr>
          <w:rFonts w:ascii="仿宋_GB2312" w:hAnsi="仿宋_GB2312" w:eastAsia="仿宋_GB2312" w:cs="仿宋_GB2312"/>
          <w:sz w:val="32"/>
        </w:rPr>
      </w:pPr>
      <w:r>
        <w:rPr>
          <w:rFonts w:hint="eastAsia" w:ascii="仿宋_GB2312" w:hAnsi="Times New Roman" w:eastAsia="仿宋_GB2312" w:cs="Times New Roman"/>
          <w:sz w:val="32"/>
        </w:rPr>
        <w:t>杜莫镇是荔浦唯一的革命老区，与梧州市蒙山县毗邻，是荔浦县最南端主要的经济中心，321国道贯穿全镇，全镇有人口2.5万人，辖11个村（居）委会。荔蒙特支旧址位于荔浦市杜莫镇革命老区村——张村，距荔浦县城12.2公里，321</w:t>
      </w:r>
      <w:r>
        <w:rPr>
          <w:rFonts w:hint="eastAsia" w:ascii="仿宋_GB2312" w:hAnsi="宋体" w:eastAsia="仿宋_GB2312" w:cs="宋体"/>
          <w:sz w:val="32"/>
        </w:rPr>
        <w:t>国道</w:t>
      </w:r>
      <w:r>
        <w:rPr>
          <w:rFonts w:hint="eastAsia" w:ascii="仿宋_GB2312" w:hAnsi="仿宋_GB2312" w:eastAsia="仿宋_GB2312" w:cs="仿宋_GB2312"/>
          <w:sz w:val="32"/>
        </w:rPr>
        <w:t>旁，该村人杰地灵，物产丰富，具有悠久的历史文化和光荣的革命传统。</w:t>
      </w:r>
      <w:r>
        <w:rPr>
          <w:rFonts w:ascii="仿宋_GB2312" w:hAnsi="Times New Roman" w:eastAsia="仿宋_GB2312" w:cs="Times New Roman"/>
          <w:sz w:val="32"/>
        </w:rPr>
        <w:t>2018年以来，杜莫镇重点抓好了张村革命旧址修缮和保护工作，主要内容包括：文化小广场建设，旧址房屋维修，</w:t>
      </w:r>
      <w:r>
        <w:rPr>
          <w:rFonts w:hint="eastAsia" w:ascii="仿宋_GB2312" w:hAnsi="仿宋_GB2312" w:eastAsia="仿宋_GB2312" w:cs="仿宋_GB2312"/>
          <w:sz w:val="32"/>
        </w:rPr>
        <w:t>革命陈列馆</w:t>
      </w:r>
      <w:r>
        <w:rPr>
          <w:rFonts w:ascii="仿宋_GB2312" w:hAnsi="Times New Roman" w:eastAsia="仿宋_GB2312" w:cs="Times New Roman"/>
          <w:sz w:val="32"/>
        </w:rPr>
        <w:t>建设、</w:t>
      </w:r>
      <w:r>
        <w:rPr>
          <w:rFonts w:hint="eastAsia" w:ascii="仿宋_GB2312" w:hAnsi="Times New Roman" w:eastAsia="仿宋_GB2312" w:cs="Times New Roman"/>
          <w:sz w:val="32"/>
        </w:rPr>
        <w:t>革命旧址大岩口建设</w:t>
      </w:r>
      <w:r>
        <w:rPr>
          <w:rFonts w:ascii="仿宋_GB2312" w:hAnsi="Times New Roman" w:eastAsia="仿宋_GB2312" w:cs="Times New Roman"/>
          <w:sz w:val="32"/>
        </w:rPr>
        <w:t>等</w:t>
      </w:r>
      <w:r>
        <w:rPr>
          <w:rFonts w:hint="eastAsia" w:ascii="仿宋_GB2312" w:hAnsi="仿宋_GB2312" w:eastAsia="仿宋_GB2312" w:cs="仿宋_GB2312"/>
          <w:sz w:val="32"/>
        </w:rPr>
        <w:t>，党员教育基地进一步夯实。</w:t>
      </w:r>
    </w:p>
    <w:p w14:paraId="0F515BAF">
      <w:pPr>
        <w:spacing w:line="560" w:lineRule="exact"/>
        <w:ind w:left="640"/>
        <w:rPr>
          <w:rFonts w:ascii="黑体" w:hAnsi="Times New Roman" w:eastAsia="黑体" w:cs="Times New Roman"/>
          <w:sz w:val="32"/>
        </w:rPr>
      </w:pPr>
      <w:r>
        <w:rPr>
          <w:rFonts w:hint="eastAsia" w:ascii="黑体" w:hAnsi="Times New Roman" w:eastAsia="黑体" w:cs="Times New Roman"/>
          <w:sz w:val="32"/>
        </w:rPr>
        <w:t>二、上级</w:t>
      </w:r>
      <w:r>
        <w:rPr>
          <w:rFonts w:ascii="黑体" w:hAnsi="Times New Roman" w:eastAsia="黑体" w:cs="Times New Roman"/>
          <w:sz w:val="32"/>
        </w:rPr>
        <w:t>给予</w:t>
      </w:r>
      <w:r>
        <w:rPr>
          <w:rFonts w:hint="eastAsia" w:ascii="黑体" w:hAnsi="Times New Roman" w:eastAsia="黑体" w:cs="Times New Roman"/>
          <w:sz w:val="32"/>
        </w:rPr>
        <w:t>革命老区转移支付情况</w:t>
      </w:r>
    </w:p>
    <w:p w14:paraId="7B2E5ECD">
      <w:pPr>
        <w:spacing w:line="560" w:lineRule="exact"/>
        <w:ind w:left="640"/>
        <w:rPr>
          <w:rFonts w:ascii="楷体_GB2312" w:hAnsi="Times New Roman" w:eastAsia="楷体_GB2312"/>
          <w:sz w:val="32"/>
        </w:rPr>
      </w:pPr>
      <w:r>
        <w:rPr>
          <w:rFonts w:hint="eastAsia" w:ascii="楷体_GB2312" w:hAnsi="Times New Roman" w:eastAsia="楷体_GB2312"/>
          <w:sz w:val="32"/>
        </w:rPr>
        <w:t>（一）上级</w:t>
      </w:r>
      <w:r>
        <w:rPr>
          <w:rFonts w:ascii="楷体_GB2312" w:hAnsi="Times New Roman" w:eastAsia="楷体_GB2312"/>
          <w:sz w:val="32"/>
        </w:rPr>
        <w:t>转移支付情况</w:t>
      </w:r>
      <w:r>
        <w:rPr>
          <w:rFonts w:hint="eastAsia" w:ascii="楷体_GB2312" w:hAnsi="Times New Roman" w:eastAsia="楷体_GB2312"/>
          <w:sz w:val="32"/>
        </w:rPr>
        <w:t>。</w:t>
      </w:r>
    </w:p>
    <w:p w14:paraId="2C41C134">
      <w:pPr>
        <w:spacing w:line="560" w:lineRule="exact"/>
        <w:ind w:firstLine="640" w:firstLineChars="200"/>
        <w:rPr>
          <w:rFonts w:ascii="仿宋_GB2312" w:hAnsi="Times New Roman" w:eastAsia="仿宋_GB2312" w:cs="Times New Roman"/>
          <w:sz w:val="32"/>
        </w:rPr>
      </w:pPr>
      <w:r>
        <w:rPr>
          <w:rFonts w:ascii="仿宋_GB2312" w:hAnsi="Times New Roman" w:eastAsia="仿宋_GB2312" w:cs="Times New Roman"/>
          <w:sz w:val="32"/>
        </w:rPr>
        <w:t>202</w:t>
      </w:r>
      <w:r>
        <w:rPr>
          <w:rFonts w:hint="eastAsia" w:ascii="仿宋_GB2312" w:hAnsi="Times New Roman" w:eastAsia="仿宋_GB2312" w:cs="Times New Roman"/>
          <w:sz w:val="32"/>
        </w:rPr>
        <w:t>4</w:t>
      </w:r>
      <w:r>
        <w:rPr>
          <w:rFonts w:ascii="仿宋_GB2312" w:hAnsi="Times New Roman" w:eastAsia="仿宋_GB2312" w:cs="Times New Roman"/>
          <w:sz w:val="32"/>
        </w:rPr>
        <w:t>年，自治区分二批次下达我市革命老区转移支付补助资金，总金额</w:t>
      </w:r>
      <w:r>
        <w:rPr>
          <w:rFonts w:hint="eastAsia" w:ascii="仿宋_GB2312" w:hAnsi="Times New Roman" w:eastAsia="仿宋_GB2312" w:cs="Times New Roman"/>
          <w:sz w:val="32"/>
        </w:rPr>
        <w:t>593</w:t>
      </w:r>
      <w:r>
        <w:rPr>
          <w:rFonts w:ascii="仿宋_GB2312" w:hAnsi="Times New Roman" w:eastAsia="仿宋_GB2312" w:cs="Times New Roman"/>
          <w:sz w:val="32"/>
        </w:rPr>
        <w:t>万元，分别为：《广西壮族自治区财政厅关于提前下达202</w:t>
      </w:r>
      <w:r>
        <w:rPr>
          <w:rFonts w:hint="eastAsia" w:ascii="仿宋_GB2312" w:hAnsi="Times New Roman" w:eastAsia="仿宋_GB2312" w:cs="Times New Roman"/>
          <w:sz w:val="32"/>
        </w:rPr>
        <w:t>4</w:t>
      </w:r>
      <w:r>
        <w:rPr>
          <w:rFonts w:ascii="仿宋_GB2312" w:hAnsi="Times New Roman" w:eastAsia="仿宋_GB2312" w:cs="Times New Roman"/>
          <w:sz w:val="32"/>
        </w:rPr>
        <w:t>年自治区对市县部分一般性转移支付预算的通知》</w:t>
      </w:r>
      <w:r>
        <w:rPr>
          <w:rFonts w:hint="eastAsia" w:ascii="仿宋_GB2312" w:hAnsi="Times New Roman" w:eastAsia="仿宋_GB2312" w:cs="Times New Roman"/>
          <w:sz w:val="32"/>
        </w:rPr>
        <w:t>（桂财预〔</w:t>
      </w:r>
      <w:r>
        <w:rPr>
          <w:rFonts w:ascii="仿宋_GB2312" w:hAnsi="Times New Roman" w:eastAsia="仿宋_GB2312" w:cs="Times New Roman"/>
          <w:sz w:val="32"/>
        </w:rPr>
        <w:t>202</w:t>
      </w:r>
      <w:r>
        <w:rPr>
          <w:rFonts w:hint="eastAsia" w:ascii="仿宋_GB2312" w:hAnsi="Times New Roman" w:eastAsia="仿宋_GB2312" w:cs="Times New Roman"/>
          <w:sz w:val="32"/>
        </w:rPr>
        <w:t>3</w:t>
      </w:r>
      <w:r>
        <w:rPr>
          <w:rFonts w:ascii="仿宋_GB2312" w:hAnsi="Times New Roman" w:eastAsia="仿宋_GB2312" w:cs="Times New Roman"/>
          <w:sz w:val="32"/>
        </w:rPr>
        <w:t>〕1</w:t>
      </w:r>
      <w:r>
        <w:rPr>
          <w:rFonts w:hint="eastAsia" w:ascii="仿宋_GB2312" w:hAnsi="Times New Roman" w:eastAsia="仿宋_GB2312" w:cs="Times New Roman"/>
          <w:sz w:val="32"/>
        </w:rPr>
        <w:t>46</w:t>
      </w:r>
      <w:r>
        <w:rPr>
          <w:rFonts w:ascii="仿宋_GB2312" w:hAnsi="Times New Roman" w:eastAsia="仿宋_GB2312" w:cs="Times New Roman"/>
          <w:sz w:val="32"/>
        </w:rPr>
        <w:t>号</w:t>
      </w:r>
      <w:r>
        <w:rPr>
          <w:rFonts w:hint="eastAsia" w:ascii="仿宋_GB2312" w:hAnsi="Times New Roman" w:eastAsia="仿宋_GB2312" w:cs="Times New Roman"/>
          <w:sz w:val="32"/>
        </w:rPr>
        <w:t>）534万元，《广西壮族自治区财政厅</w:t>
      </w:r>
      <w:r>
        <w:rPr>
          <w:rFonts w:ascii="仿宋_GB2312" w:hAnsi="Times New Roman" w:eastAsia="仿宋_GB2312" w:cs="Times New Roman"/>
          <w:sz w:val="32"/>
        </w:rPr>
        <w:t>关于下达202</w:t>
      </w:r>
      <w:r>
        <w:rPr>
          <w:rFonts w:hint="eastAsia" w:ascii="仿宋_GB2312" w:hAnsi="Times New Roman" w:eastAsia="仿宋_GB2312" w:cs="Times New Roman"/>
          <w:sz w:val="32"/>
        </w:rPr>
        <w:t>4</w:t>
      </w:r>
      <w:r>
        <w:rPr>
          <w:rFonts w:ascii="仿宋_GB2312" w:hAnsi="Times New Roman" w:eastAsia="仿宋_GB2312" w:cs="Times New Roman"/>
          <w:sz w:val="32"/>
        </w:rPr>
        <w:t>年革命老区转移支付增量资金的通知</w:t>
      </w:r>
      <w:r>
        <w:rPr>
          <w:rFonts w:hint="eastAsia" w:ascii="仿宋_GB2312" w:hAnsi="Times New Roman" w:eastAsia="仿宋_GB2312" w:cs="Times New Roman"/>
          <w:sz w:val="32"/>
        </w:rPr>
        <w:t>》（桂财预〔</w:t>
      </w:r>
      <w:r>
        <w:rPr>
          <w:rFonts w:ascii="仿宋_GB2312" w:hAnsi="Times New Roman" w:eastAsia="仿宋_GB2312" w:cs="Times New Roman"/>
          <w:sz w:val="32"/>
        </w:rPr>
        <w:t>202</w:t>
      </w:r>
      <w:r>
        <w:rPr>
          <w:rFonts w:hint="eastAsia" w:ascii="仿宋_GB2312" w:hAnsi="Times New Roman" w:eastAsia="仿宋_GB2312" w:cs="Times New Roman"/>
          <w:sz w:val="32"/>
        </w:rPr>
        <w:t>4</w:t>
      </w:r>
      <w:r>
        <w:rPr>
          <w:rFonts w:ascii="仿宋_GB2312" w:hAnsi="Times New Roman" w:eastAsia="仿宋_GB2312" w:cs="Times New Roman"/>
          <w:sz w:val="32"/>
        </w:rPr>
        <w:t>〕</w:t>
      </w:r>
      <w:r>
        <w:rPr>
          <w:rFonts w:hint="eastAsia" w:ascii="仿宋_GB2312" w:hAnsi="Times New Roman" w:eastAsia="仿宋_GB2312" w:cs="Times New Roman"/>
          <w:sz w:val="32"/>
        </w:rPr>
        <w:t>53</w:t>
      </w:r>
      <w:r>
        <w:rPr>
          <w:rFonts w:ascii="仿宋_GB2312" w:hAnsi="Times New Roman" w:eastAsia="仿宋_GB2312" w:cs="Times New Roman"/>
          <w:sz w:val="32"/>
        </w:rPr>
        <w:t>号</w:t>
      </w:r>
      <w:r>
        <w:rPr>
          <w:rFonts w:hint="eastAsia" w:ascii="仿宋_GB2312" w:hAnsi="Times New Roman" w:eastAsia="仿宋_GB2312" w:cs="Times New Roman"/>
          <w:sz w:val="32"/>
        </w:rPr>
        <w:t>）59万元。</w:t>
      </w:r>
    </w:p>
    <w:p w14:paraId="32E10B6A">
      <w:pPr>
        <w:spacing w:line="560" w:lineRule="exact"/>
        <w:ind w:left="640"/>
        <w:rPr>
          <w:rFonts w:ascii="楷体_GB2312" w:hAnsi="Times New Roman" w:eastAsia="楷体_GB2312"/>
          <w:sz w:val="32"/>
        </w:rPr>
      </w:pPr>
      <w:r>
        <w:rPr>
          <w:rFonts w:hint="eastAsia" w:ascii="楷体_GB2312" w:hAnsi="Times New Roman" w:eastAsia="楷体_GB2312"/>
          <w:sz w:val="32"/>
        </w:rPr>
        <w:t>（二）资金分配下达情况。</w:t>
      </w:r>
    </w:p>
    <w:p w14:paraId="2A247019">
      <w:pPr>
        <w:spacing w:line="560" w:lineRule="exact"/>
        <w:ind w:firstLine="640" w:firstLineChars="200"/>
        <w:rPr>
          <w:rFonts w:ascii="仿宋_GB2312" w:hAnsi="Times New Roman" w:eastAsia="仿宋_GB2312" w:cs="Times New Roman"/>
          <w:sz w:val="32"/>
        </w:rPr>
      </w:pPr>
      <w:r>
        <w:rPr>
          <w:rFonts w:hint="eastAsia" w:ascii="仿宋_GB2312" w:hAnsi="Times New Roman" w:eastAsia="仿宋_GB2312" w:cs="Times New Roman"/>
          <w:sz w:val="32"/>
        </w:rPr>
        <w:t>在收到市财政局革命老区批复项目文件后，我市及时将预算指标在预算管理一体化系统分项目分单位下达至资金使用部门。同时，将项目批复文件转发给项目单位，并通知项目单位按要求实施项目，及时支付项目资金，加快资金支出进度。</w:t>
      </w:r>
    </w:p>
    <w:p w14:paraId="62BEDDC7">
      <w:pPr>
        <w:spacing w:line="560" w:lineRule="exact"/>
        <w:ind w:left="640"/>
        <w:rPr>
          <w:rFonts w:ascii="黑体" w:hAnsi="Times New Roman" w:eastAsia="黑体" w:cs="Times New Roman"/>
          <w:sz w:val="32"/>
        </w:rPr>
      </w:pPr>
      <w:r>
        <w:rPr>
          <w:rFonts w:hint="eastAsia" w:ascii="黑体" w:hAnsi="Times New Roman" w:eastAsia="黑体" w:cs="Times New Roman"/>
          <w:sz w:val="32"/>
        </w:rPr>
        <w:t>三、资金</w:t>
      </w:r>
      <w:r>
        <w:rPr>
          <w:rFonts w:ascii="黑体" w:hAnsi="Times New Roman" w:eastAsia="黑体" w:cs="Times New Roman"/>
          <w:sz w:val="32"/>
        </w:rPr>
        <w:t>使用管理情况</w:t>
      </w:r>
    </w:p>
    <w:p w14:paraId="7870E56D">
      <w:pPr>
        <w:spacing w:line="560" w:lineRule="exact"/>
        <w:ind w:left="640"/>
        <w:rPr>
          <w:rFonts w:ascii="楷体_GB2312" w:hAnsi="Times New Roman" w:eastAsia="楷体_GB2312"/>
          <w:sz w:val="32"/>
        </w:rPr>
      </w:pPr>
      <w:r>
        <w:rPr>
          <w:rFonts w:hint="eastAsia" w:ascii="楷体_GB2312" w:hAnsi="Times New Roman" w:eastAsia="楷体_GB2312"/>
          <w:sz w:val="32"/>
        </w:rPr>
        <w:t>（一）项目安排情况。</w:t>
      </w:r>
    </w:p>
    <w:p w14:paraId="5F77CAB6">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2024年革命老区转移支付资金593万元，共安排实施8个项目，其中：</w:t>
      </w:r>
    </w:p>
    <w:p w14:paraId="5583D2B3">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1.使用《广西壮族自治区财政厅关于提前下达2023年自治区对市县部分一般性转移支付预算的通知》（桂财预〔2023〕146号）534万元安排项目6个，分别为：</w:t>
      </w:r>
    </w:p>
    <w:p w14:paraId="5315C0C1">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（1）荔浦市东昌镇栗木河便民桥建设项目，</w:t>
      </w:r>
      <w:r>
        <w:rPr>
          <w:rFonts w:ascii="仿宋_GB2312" w:hAnsi="Times New Roman" w:eastAsia="仿宋_GB2312" w:cs="Times New Roman"/>
          <w:sz w:val="32"/>
        </w:rPr>
        <w:t>投资总规模</w:t>
      </w:r>
      <w:r>
        <w:rPr>
          <w:rFonts w:hint="eastAsia" w:ascii="仿宋_GB2312" w:hAnsi="Times New Roman" w:eastAsia="仿宋_GB2312" w:cs="Times New Roman"/>
          <w:sz w:val="32"/>
        </w:rPr>
        <w:t>93</w:t>
      </w:r>
      <w:r>
        <w:rPr>
          <w:rFonts w:ascii="仿宋_GB2312" w:hAnsi="Times New Roman" w:eastAsia="仿宋_GB2312" w:cs="Times New Roman"/>
          <w:sz w:val="32"/>
        </w:rPr>
        <w:t>万元，</w:t>
      </w:r>
      <w:r>
        <w:rPr>
          <w:rFonts w:hint="eastAsia" w:ascii="仿宋_GB2312" w:hAnsi="Times New Roman" w:eastAsia="仿宋_GB2312" w:cs="Times New Roman"/>
          <w:sz w:val="32"/>
        </w:rPr>
        <w:t>革命老区转移支付资金规模92</w:t>
      </w:r>
      <w:r>
        <w:rPr>
          <w:rFonts w:ascii="仿宋_GB2312" w:hAnsi="Times New Roman" w:eastAsia="仿宋_GB2312" w:cs="Times New Roman"/>
          <w:sz w:val="32"/>
        </w:rPr>
        <w:t>万元；</w:t>
      </w:r>
    </w:p>
    <w:p w14:paraId="680ABD7F">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（2）荔浦市杜莫镇红色文化小广场项目</w:t>
      </w:r>
      <w:r>
        <w:rPr>
          <w:rFonts w:ascii="仿宋_GB2312" w:hAnsi="Times New Roman" w:eastAsia="仿宋_GB2312" w:cs="Times New Roman"/>
          <w:sz w:val="32"/>
        </w:rPr>
        <w:t>，</w:t>
      </w:r>
      <w:r>
        <w:rPr>
          <w:rFonts w:hint="eastAsia" w:ascii="仿宋_GB2312" w:hAnsi="Times New Roman" w:eastAsia="仿宋_GB2312" w:cs="Times New Roman"/>
          <w:sz w:val="32"/>
        </w:rPr>
        <w:t>投资总规模52</w:t>
      </w:r>
      <w:r>
        <w:rPr>
          <w:rFonts w:ascii="仿宋_GB2312" w:hAnsi="Times New Roman" w:eastAsia="仿宋_GB2312" w:cs="Times New Roman"/>
          <w:sz w:val="32"/>
        </w:rPr>
        <w:t>万元，革命老区转移支付资金规模</w:t>
      </w:r>
      <w:r>
        <w:rPr>
          <w:rFonts w:hint="eastAsia" w:ascii="仿宋_GB2312" w:hAnsi="Times New Roman" w:eastAsia="仿宋_GB2312" w:cs="Times New Roman"/>
          <w:sz w:val="32"/>
        </w:rPr>
        <w:t>52</w:t>
      </w:r>
      <w:r>
        <w:rPr>
          <w:rFonts w:ascii="仿宋_GB2312" w:hAnsi="Times New Roman" w:eastAsia="仿宋_GB2312" w:cs="Times New Roman"/>
          <w:sz w:val="32"/>
        </w:rPr>
        <w:t>万元；</w:t>
      </w:r>
    </w:p>
    <w:p w14:paraId="43B9BB13">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（3）荔浦市龙怀乡新安社区集镇公共设施项目</w:t>
      </w:r>
      <w:r>
        <w:rPr>
          <w:rFonts w:ascii="仿宋_GB2312" w:hAnsi="Times New Roman" w:eastAsia="仿宋_GB2312" w:cs="Times New Roman"/>
          <w:sz w:val="32"/>
        </w:rPr>
        <w:t>，投资总规模</w:t>
      </w:r>
      <w:r>
        <w:rPr>
          <w:rFonts w:hint="eastAsia" w:ascii="仿宋_GB2312" w:hAnsi="Times New Roman" w:eastAsia="仿宋_GB2312" w:cs="Times New Roman"/>
          <w:sz w:val="32"/>
        </w:rPr>
        <w:t>100</w:t>
      </w:r>
      <w:r>
        <w:rPr>
          <w:rFonts w:ascii="仿宋_GB2312" w:hAnsi="Times New Roman" w:eastAsia="仿宋_GB2312" w:cs="Times New Roman"/>
          <w:sz w:val="32"/>
        </w:rPr>
        <w:t>万元，革命老区转移支付资金规模</w:t>
      </w:r>
      <w:r>
        <w:rPr>
          <w:rFonts w:hint="eastAsia" w:ascii="仿宋_GB2312" w:hAnsi="Times New Roman" w:eastAsia="仿宋_GB2312" w:cs="Times New Roman"/>
          <w:sz w:val="32"/>
        </w:rPr>
        <w:t>100</w:t>
      </w:r>
      <w:r>
        <w:rPr>
          <w:rFonts w:ascii="仿宋_GB2312" w:hAnsi="Times New Roman" w:eastAsia="仿宋_GB2312" w:cs="Times New Roman"/>
          <w:sz w:val="32"/>
        </w:rPr>
        <w:t>万元；</w:t>
      </w:r>
    </w:p>
    <w:p w14:paraId="4422E2DB">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（4）荔浦市花篢镇相仕村农业连片区产业道路硬化工程，投资总规模135</w:t>
      </w:r>
      <w:r>
        <w:rPr>
          <w:rFonts w:ascii="仿宋_GB2312" w:hAnsi="Times New Roman" w:eastAsia="仿宋_GB2312"/>
          <w:sz w:val="32"/>
        </w:rPr>
        <w:t>万元，革命老区转移支付资金规模</w:t>
      </w:r>
      <w:r>
        <w:rPr>
          <w:rFonts w:hint="eastAsia" w:ascii="仿宋_GB2312" w:hAnsi="Times New Roman" w:eastAsia="仿宋_GB2312"/>
          <w:sz w:val="32"/>
        </w:rPr>
        <w:t>135</w:t>
      </w:r>
      <w:r>
        <w:rPr>
          <w:rFonts w:ascii="仿宋_GB2312" w:hAnsi="Times New Roman" w:eastAsia="仿宋_GB2312"/>
          <w:sz w:val="32"/>
        </w:rPr>
        <w:t>万元；</w:t>
      </w:r>
    </w:p>
    <w:p w14:paraId="0951B517">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（5）荔浦市大塘镇大塘社区大塘街管网铺设及道路改造工程，投资总规模116</w:t>
      </w:r>
      <w:r>
        <w:rPr>
          <w:rFonts w:ascii="仿宋_GB2312" w:hAnsi="Times New Roman" w:eastAsia="仿宋_GB2312"/>
          <w:sz w:val="32"/>
        </w:rPr>
        <w:t>万元，革命老区转移支付资金规模</w:t>
      </w:r>
      <w:r>
        <w:rPr>
          <w:rFonts w:hint="eastAsia" w:ascii="仿宋_GB2312" w:hAnsi="Times New Roman" w:eastAsia="仿宋_GB2312"/>
          <w:sz w:val="32"/>
        </w:rPr>
        <w:t>116</w:t>
      </w:r>
      <w:r>
        <w:rPr>
          <w:rFonts w:ascii="仿宋_GB2312" w:hAnsi="Times New Roman" w:eastAsia="仿宋_GB2312"/>
          <w:sz w:val="32"/>
        </w:rPr>
        <w:t>万元；</w:t>
      </w:r>
    </w:p>
    <w:p w14:paraId="4BB7001F">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（6）荔浦市双江镇龙坪村马岗屯灌溉渠道三面光建设工程，投资总规模39</w:t>
      </w:r>
      <w:r>
        <w:rPr>
          <w:rFonts w:ascii="仿宋_GB2312" w:hAnsi="Times New Roman" w:eastAsia="仿宋_GB2312"/>
          <w:sz w:val="32"/>
        </w:rPr>
        <w:t>万元，革命老区转移支付资金规模</w:t>
      </w:r>
      <w:r>
        <w:rPr>
          <w:rFonts w:hint="eastAsia" w:ascii="仿宋_GB2312" w:hAnsi="Times New Roman" w:eastAsia="仿宋_GB2312"/>
          <w:sz w:val="32"/>
        </w:rPr>
        <w:t>39</w:t>
      </w:r>
      <w:r>
        <w:rPr>
          <w:rFonts w:ascii="仿宋_GB2312" w:hAnsi="Times New Roman" w:eastAsia="仿宋_GB2312"/>
          <w:sz w:val="32"/>
        </w:rPr>
        <w:t>万元</w:t>
      </w:r>
      <w:r>
        <w:rPr>
          <w:rFonts w:hint="eastAsia" w:ascii="仿宋_GB2312" w:hAnsi="Times New Roman" w:eastAsia="仿宋_GB2312"/>
          <w:sz w:val="32"/>
        </w:rPr>
        <w:t>。</w:t>
      </w:r>
    </w:p>
    <w:p w14:paraId="417A6094">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2.使用《广西壮族自治区财政厅关于下达</w:t>
      </w:r>
      <w:r>
        <w:rPr>
          <w:rFonts w:ascii="仿宋_GB2312" w:hAnsi="Times New Roman" w:eastAsia="仿宋_GB2312"/>
          <w:sz w:val="32"/>
        </w:rPr>
        <w:t>202</w:t>
      </w:r>
      <w:r>
        <w:rPr>
          <w:rFonts w:hint="eastAsia" w:ascii="仿宋_GB2312" w:hAnsi="Times New Roman" w:eastAsia="仿宋_GB2312"/>
          <w:sz w:val="32"/>
        </w:rPr>
        <w:t>4</w:t>
      </w:r>
      <w:r>
        <w:rPr>
          <w:rFonts w:ascii="仿宋_GB2312" w:hAnsi="Times New Roman" w:eastAsia="仿宋_GB2312"/>
          <w:sz w:val="32"/>
        </w:rPr>
        <w:t>年革命老区转移支付增量资金的通知》（桂财预〔202</w:t>
      </w:r>
      <w:r>
        <w:rPr>
          <w:rFonts w:hint="eastAsia" w:ascii="仿宋_GB2312" w:hAnsi="Times New Roman" w:eastAsia="仿宋_GB2312"/>
          <w:sz w:val="32"/>
        </w:rPr>
        <w:t>4</w:t>
      </w:r>
      <w:r>
        <w:rPr>
          <w:rFonts w:ascii="仿宋_GB2312" w:hAnsi="Times New Roman" w:eastAsia="仿宋_GB2312"/>
          <w:sz w:val="32"/>
        </w:rPr>
        <w:t>〕</w:t>
      </w:r>
      <w:r>
        <w:rPr>
          <w:rFonts w:hint="eastAsia" w:ascii="仿宋_GB2312" w:hAnsi="Times New Roman" w:eastAsia="仿宋_GB2312"/>
          <w:sz w:val="32"/>
        </w:rPr>
        <w:t>53</w:t>
      </w:r>
      <w:r>
        <w:rPr>
          <w:rFonts w:ascii="仿宋_GB2312" w:hAnsi="Times New Roman" w:eastAsia="仿宋_GB2312"/>
          <w:sz w:val="32"/>
        </w:rPr>
        <w:t>号）</w:t>
      </w:r>
      <w:r>
        <w:rPr>
          <w:rFonts w:hint="eastAsia" w:ascii="仿宋_GB2312" w:hAnsi="Times New Roman" w:eastAsia="仿宋_GB2312"/>
          <w:sz w:val="32"/>
        </w:rPr>
        <w:t>59</w:t>
      </w:r>
      <w:r>
        <w:rPr>
          <w:rFonts w:ascii="仿宋_GB2312" w:hAnsi="Times New Roman" w:eastAsia="仿宋_GB2312"/>
          <w:sz w:val="32"/>
        </w:rPr>
        <w:t>万元安排项目</w:t>
      </w:r>
      <w:r>
        <w:rPr>
          <w:rFonts w:hint="eastAsia" w:ascii="仿宋_GB2312" w:hAnsi="Times New Roman" w:eastAsia="仿宋_GB2312"/>
          <w:sz w:val="32"/>
        </w:rPr>
        <w:t>2</w:t>
      </w:r>
      <w:r>
        <w:rPr>
          <w:rFonts w:ascii="仿宋_GB2312" w:hAnsi="Times New Roman" w:eastAsia="仿宋_GB2312"/>
          <w:sz w:val="32"/>
        </w:rPr>
        <w:t>个，</w:t>
      </w:r>
      <w:r>
        <w:rPr>
          <w:rFonts w:hint="eastAsia" w:ascii="仿宋_GB2312" w:hAnsi="Times New Roman" w:eastAsia="仿宋_GB2312"/>
          <w:sz w:val="32"/>
        </w:rPr>
        <w:t>分别</w:t>
      </w:r>
      <w:r>
        <w:rPr>
          <w:rFonts w:ascii="仿宋_GB2312" w:hAnsi="Times New Roman" w:eastAsia="仿宋_GB2312"/>
          <w:sz w:val="32"/>
        </w:rPr>
        <w:t>为</w:t>
      </w:r>
      <w:r>
        <w:rPr>
          <w:rFonts w:hint="eastAsia" w:ascii="仿宋_GB2312" w:hAnsi="Times New Roman" w:eastAsia="仿宋_GB2312"/>
          <w:sz w:val="32"/>
        </w:rPr>
        <w:t>：</w:t>
      </w:r>
    </w:p>
    <w:p w14:paraId="0FCF5315">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（1）荔浦市双江镇集镇基础设施改造提升工程，投资总规模30</w:t>
      </w:r>
      <w:r>
        <w:rPr>
          <w:rFonts w:ascii="仿宋_GB2312" w:hAnsi="Times New Roman" w:eastAsia="仿宋_GB2312"/>
          <w:sz w:val="32"/>
        </w:rPr>
        <w:t>万元，革命老区转移支付资金规模</w:t>
      </w:r>
      <w:r>
        <w:rPr>
          <w:rFonts w:hint="eastAsia" w:ascii="仿宋_GB2312" w:hAnsi="Times New Roman" w:eastAsia="仿宋_GB2312"/>
          <w:sz w:val="32"/>
        </w:rPr>
        <w:t>30</w:t>
      </w:r>
      <w:r>
        <w:rPr>
          <w:rFonts w:ascii="仿宋_GB2312" w:hAnsi="Times New Roman" w:eastAsia="仿宋_GB2312"/>
          <w:sz w:val="32"/>
        </w:rPr>
        <w:t>万元。</w:t>
      </w:r>
    </w:p>
    <w:p w14:paraId="4796CD51">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（2）荔浦市大塘镇大塘社区便民服务公共设施建设项目，投资总规模29</w:t>
      </w:r>
      <w:r>
        <w:rPr>
          <w:rFonts w:ascii="仿宋_GB2312" w:hAnsi="Times New Roman" w:eastAsia="仿宋_GB2312"/>
          <w:sz w:val="32"/>
        </w:rPr>
        <w:t>万元，革命老区转移支付资金规模</w:t>
      </w:r>
      <w:r>
        <w:rPr>
          <w:rFonts w:hint="eastAsia" w:ascii="仿宋_GB2312" w:hAnsi="Times New Roman" w:eastAsia="仿宋_GB2312"/>
          <w:sz w:val="32"/>
        </w:rPr>
        <w:t>29</w:t>
      </w:r>
      <w:r>
        <w:rPr>
          <w:rFonts w:ascii="仿宋_GB2312" w:hAnsi="Times New Roman" w:eastAsia="仿宋_GB2312"/>
          <w:sz w:val="32"/>
        </w:rPr>
        <w:t>万元。</w:t>
      </w:r>
    </w:p>
    <w:p w14:paraId="6A1D88A8">
      <w:pPr>
        <w:pStyle w:val="6"/>
        <w:spacing w:line="560" w:lineRule="exact"/>
        <w:ind w:firstLine="640"/>
        <w:rPr>
          <w:rFonts w:ascii="楷体_GB2312" w:hAnsi="Times New Roman" w:eastAsia="楷体_GB2312"/>
          <w:sz w:val="32"/>
        </w:rPr>
      </w:pPr>
      <w:r>
        <w:rPr>
          <w:rFonts w:hint="eastAsia" w:ascii="楷体_GB2312" w:hAnsi="Times New Roman" w:eastAsia="楷体_GB2312"/>
          <w:sz w:val="32"/>
        </w:rPr>
        <w:t>（二）资金支出情况。</w:t>
      </w:r>
    </w:p>
    <w:p w14:paraId="5C5DBB62">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2024</w:t>
      </w:r>
      <w:r>
        <w:rPr>
          <w:rFonts w:ascii="仿宋_GB2312" w:hAnsi="Times New Roman" w:eastAsia="仿宋_GB2312"/>
          <w:sz w:val="32"/>
        </w:rPr>
        <w:t>年度革命老区转移支付资金</w:t>
      </w:r>
      <w:r>
        <w:rPr>
          <w:rFonts w:hint="eastAsia" w:ascii="仿宋_GB2312" w:hAnsi="Times New Roman" w:eastAsia="仿宋_GB2312"/>
          <w:sz w:val="32"/>
        </w:rPr>
        <w:t>593</w:t>
      </w:r>
      <w:r>
        <w:rPr>
          <w:rFonts w:ascii="仿宋_GB2312" w:hAnsi="Times New Roman" w:eastAsia="仿宋_GB2312"/>
          <w:sz w:val="32"/>
        </w:rPr>
        <w:t>万元，截至202</w:t>
      </w:r>
      <w:r>
        <w:rPr>
          <w:rFonts w:hint="eastAsia" w:ascii="仿宋_GB2312" w:hAnsi="Times New Roman" w:eastAsia="仿宋_GB2312"/>
          <w:sz w:val="32"/>
        </w:rPr>
        <w:t>4</w:t>
      </w:r>
      <w:r>
        <w:rPr>
          <w:rFonts w:ascii="仿宋_GB2312" w:hAnsi="Times New Roman" w:eastAsia="仿宋_GB2312"/>
          <w:sz w:val="32"/>
        </w:rPr>
        <w:t>年12月31日，累计支付</w:t>
      </w:r>
      <w:r>
        <w:rPr>
          <w:rFonts w:hint="eastAsia" w:ascii="仿宋_GB2312" w:hAnsi="Times New Roman" w:eastAsia="仿宋_GB2312"/>
          <w:sz w:val="32"/>
        </w:rPr>
        <w:t>85.765</w:t>
      </w:r>
      <w:r>
        <w:rPr>
          <w:rFonts w:ascii="仿宋_GB2312" w:hAnsi="Times New Roman" w:eastAsia="仿宋_GB2312"/>
          <w:sz w:val="32"/>
        </w:rPr>
        <w:t>万元，支付进度为</w:t>
      </w:r>
      <w:r>
        <w:rPr>
          <w:rFonts w:hint="eastAsia" w:ascii="仿宋_GB2312" w:hAnsi="Times New Roman" w:eastAsia="仿宋_GB2312"/>
          <w:sz w:val="32"/>
        </w:rPr>
        <w:t>14.46%；截至</w:t>
      </w:r>
      <w:r>
        <w:rPr>
          <w:rFonts w:ascii="仿宋_GB2312" w:hAnsi="Times New Roman" w:eastAsia="仿宋_GB2312"/>
          <w:sz w:val="32"/>
        </w:rPr>
        <w:t>202</w:t>
      </w:r>
      <w:r>
        <w:rPr>
          <w:rFonts w:hint="eastAsia" w:ascii="仿宋_GB2312" w:hAnsi="Times New Roman" w:eastAsia="仿宋_GB2312"/>
          <w:sz w:val="32"/>
        </w:rPr>
        <w:t>5</w:t>
      </w:r>
      <w:r>
        <w:rPr>
          <w:rFonts w:ascii="仿宋_GB2312" w:hAnsi="Times New Roman" w:eastAsia="仿宋_GB2312"/>
          <w:sz w:val="32"/>
        </w:rPr>
        <w:t>年</w:t>
      </w:r>
      <w:r>
        <w:rPr>
          <w:rFonts w:hint="eastAsia" w:ascii="仿宋_GB2312" w:hAnsi="Times New Roman" w:eastAsia="仿宋_GB2312"/>
          <w:sz w:val="32"/>
        </w:rPr>
        <w:t>3</w:t>
      </w:r>
      <w:r>
        <w:rPr>
          <w:rFonts w:ascii="仿宋_GB2312" w:hAnsi="Times New Roman" w:eastAsia="仿宋_GB2312"/>
          <w:sz w:val="32"/>
        </w:rPr>
        <w:t>月</w:t>
      </w:r>
      <w:r>
        <w:rPr>
          <w:rFonts w:hint="eastAsia" w:ascii="仿宋_GB2312" w:hAnsi="Times New Roman" w:eastAsia="仿宋_GB2312"/>
          <w:sz w:val="32"/>
          <w:lang w:val="en-US" w:eastAsia="zh-CN"/>
        </w:rPr>
        <w:t>20</w:t>
      </w:r>
      <w:bookmarkStart w:id="0" w:name="_GoBack"/>
      <w:bookmarkEnd w:id="0"/>
      <w:r>
        <w:rPr>
          <w:rFonts w:ascii="仿宋_GB2312" w:hAnsi="Times New Roman" w:eastAsia="仿宋_GB2312"/>
          <w:sz w:val="32"/>
        </w:rPr>
        <w:t>日，累计支付</w:t>
      </w:r>
      <w:r>
        <w:rPr>
          <w:rFonts w:hint="eastAsia" w:ascii="仿宋_GB2312" w:hAnsi="Times New Roman" w:eastAsia="仿宋_GB2312"/>
          <w:sz w:val="32"/>
        </w:rPr>
        <w:t>135.765</w:t>
      </w:r>
      <w:r>
        <w:rPr>
          <w:rFonts w:ascii="仿宋_GB2312" w:hAnsi="Times New Roman" w:eastAsia="仿宋_GB2312"/>
          <w:sz w:val="32"/>
        </w:rPr>
        <w:t>万元，支付进度为</w:t>
      </w:r>
      <w:r>
        <w:rPr>
          <w:rFonts w:hint="eastAsia" w:ascii="仿宋_GB2312" w:hAnsi="Times New Roman" w:eastAsia="仿宋_GB2312"/>
          <w:sz w:val="32"/>
        </w:rPr>
        <w:t>22.89%</w:t>
      </w:r>
      <w:r>
        <w:rPr>
          <w:rFonts w:ascii="仿宋_GB2312" w:hAnsi="Times New Roman" w:eastAsia="仿宋_GB2312"/>
          <w:sz w:val="32"/>
        </w:rPr>
        <w:t>。具体如下：</w:t>
      </w:r>
    </w:p>
    <w:p w14:paraId="2B99253C">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1.荔浦市东昌镇栗木河便民桥建设项目</w:t>
      </w:r>
      <w:r>
        <w:rPr>
          <w:rFonts w:ascii="仿宋_GB2312" w:hAnsi="Times New Roman" w:eastAsia="仿宋_GB2312"/>
          <w:sz w:val="32"/>
        </w:rPr>
        <w:t>：</w:t>
      </w:r>
      <w:r>
        <w:rPr>
          <w:rFonts w:hint="eastAsia" w:ascii="仿宋_GB2312" w:hAnsi="Times New Roman" w:eastAsia="仿宋_GB2312"/>
          <w:sz w:val="32"/>
        </w:rPr>
        <w:t>因桥梁基础结构复杂，施工技术要求高，导致项目建设周期较原计划有所延长。目前已完成工程设计、招标投标等前期工作，项目正在建设中，已完成桥梁的基础部分，主体部分完成模板安装。预计2025年5月底全面竣工</w:t>
      </w:r>
      <w:r>
        <w:rPr>
          <w:rFonts w:ascii="仿宋_GB2312" w:hAnsi="Times New Roman" w:eastAsia="仿宋_GB2312"/>
          <w:sz w:val="32"/>
        </w:rPr>
        <w:t>。因工程未达到支付条件，尚未支付。</w:t>
      </w:r>
    </w:p>
    <w:p w14:paraId="3C3C4AB8">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2.荔浦市杜莫镇红色文化小广场项目</w:t>
      </w:r>
      <w:r>
        <w:rPr>
          <w:rFonts w:ascii="仿宋_GB2312" w:hAnsi="Times New Roman" w:eastAsia="仿宋_GB2312"/>
          <w:sz w:val="32"/>
        </w:rPr>
        <w:t>：</w:t>
      </w:r>
      <w:r>
        <w:rPr>
          <w:rFonts w:hint="eastAsia" w:ascii="仿宋_GB2312" w:hAnsi="Times New Roman" w:eastAsia="仿宋_GB2312"/>
          <w:sz w:val="32"/>
        </w:rPr>
        <w:t>因项目实施地点变更，涉及用地规划调整，目前正在办理建设用地审批手续。目前已完成工程设计、招标投标等前期工作，项目尚未开工。</w:t>
      </w:r>
      <w:r>
        <w:rPr>
          <w:rFonts w:ascii="仿宋_GB2312" w:hAnsi="Times New Roman" w:eastAsia="仿宋_GB2312"/>
          <w:sz w:val="32"/>
        </w:rPr>
        <w:t>因工程未达到支付条件，尚未支付。</w:t>
      </w:r>
    </w:p>
    <w:p w14:paraId="00926811">
      <w:pPr>
        <w:spacing w:line="560" w:lineRule="exact"/>
        <w:ind w:firstLine="640" w:firstLineChars="200"/>
        <w:jc w:val="left"/>
        <w:rPr>
          <w:rFonts w:ascii="仿宋_GB2312" w:hAnsi="Times New Roman" w:eastAsia="仿宋_GB2312"/>
          <w:sz w:val="32"/>
          <w:highlight w:val="none"/>
        </w:rPr>
      </w:pPr>
      <w:r>
        <w:rPr>
          <w:rFonts w:hint="eastAsia" w:ascii="仿宋_GB2312" w:hAnsi="Times New Roman" w:eastAsia="仿宋_GB2312"/>
          <w:sz w:val="32"/>
          <w:highlight w:val="none"/>
        </w:rPr>
        <w:t>3.荔浦市龙怀乡新安社区集镇公共设施项目</w:t>
      </w:r>
      <w:r>
        <w:rPr>
          <w:rFonts w:ascii="仿宋_GB2312" w:hAnsi="Times New Roman" w:eastAsia="仿宋_GB2312"/>
          <w:sz w:val="32"/>
          <w:highlight w:val="none"/>
        </w:rPr>
        <w:t>：</w:t>
      </w:r>
      <w:r>
        <w:rPr>
          <w:rFonts w:hint="eastAsia" w:ascii="仿宋_GB2312" w:hAnsi="Times New Roman" w:eastAsia="仿宋_GB2312"/>
          <w:sz w:val="32"/>
          <w:highlight w:val="none"/>
        </w:rPr>
        <w:t>已完成工程设计、招标投标等前期工作，项目已竣工待验收。</w:t>
      </w:r>
      <w:r>
        <w:rPr>
          <w:rFonts w:ascii="仿宋_GB2312" w:hAnsi="Times New Roman" w:eastAsia="仿宋_GB2312"/>
          <w:sz w:val="32"/>
          <w:highlight w:val="none"/>
        </w:rPr>
        <w:t>因工程未达到支付条件，尚未支付。</w:t>
      </w:r>
    </w:p>
    <w:p w14:paraId="0BBF72F2">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rPr>
        <w:t>4.荔</w:t>
      </w:r>
      <w:r>
        <w:rPr>
          <w:rFonts w:hint="eastAsia" w:ascii="仿宋_GB2312" w:hAnsi="Times New Roman" w:eastAsia="仿宋_GB2312"/>
          <w:sz w:val="32"/>
          <w:szCs w:val="32"/>
        </w:rPr>
        <w:t>浦市花</w:t>
      </w:r>
      <w:r>
        <w:rPr>
          <w:rFonts w:hint="eastAsia" w:ascii="宋体" w:hAnsi="宋体" w:eastAsia="宋体"/>
          <w:sz w:val="32"/>
          <w:szCs w:val="32"/>
        </w:rPr>
        <w:t>篢</w:t>
      </w:r>
      <w:r>
        <w:rPr>
          <w:rFonts w:hint="eastAsia" w:ascii="仿宋_GB2312" w:hAnsi="Times New Roman" w:eastAsia="仿宋_GB2312"/>
          <w:sz w:val="32"/>
          <w:szCs w:val="32"/>
        </w:rPr>
        <w:t>镇相仕村农业连片区产业道路硬化工程</w:t>
      </w:r>
      <w:r>
        <w:rPr>
          <w:rFonts w:ascii="仿宋_GB2312" w:hAnsi="Times New Roman" w:eastAsia="仿宋_GB2312"/>
          <w:sz w:val="32"/>
          <w:szCs w:val="32"/>
        </w:rPr>
        <w:t>：</w:t>
      </w:r>
      <w:r>
        <w:rPr>
          <w:rFonts w:hint="eastAsia" w:ascii="仿宋_GB2312" w:hAnsi="Times New Roman" w:eastAsia="仿宋_GB2312"/>
          <w:sz w:val="32"/>
          <w:szCs w:val="32"/>
        </w:rPr>
        <w:t>已完成工程设计、招标投标等前期工作，项目已竣工待验收。目前已经支付部分工程款62万元</w:t>
      </w:r>
      <w:r>
        <w:rPr>
          <w:rFonts w:ascii="仿宋_GB2312" w:hAnsi="Times New Roman" w:eastAsia="仿宋_GB2312"/>
          <w:sz w:val="32"/>
          <w:szCs w:val="32"/>
        </w:rPr>
        <w:t>。</w:t>
      </w:r>
    </w:p>
    <w:p w14:paraId="186D3BB7">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5.荔浦市大塘镇大塘社区大塘街管网铺设及道路改造工程</w:t>
      </w:r>
      <w:r>
        <w:rPr>
          <w:rFonts w:ascii="仿宋_GB2312" w:hAnsi="Times New Roman" w:eastAsia="仿宋_GB2312"/>
          <w:sz w:val="32"/>
        </w:rPr>
        <w:t>：</w:t>
      </w:r>
      <w:r>
        <w:rPr>
          <w:rFonts w:hint="eastAsia" w:ascii="仿宋_GB2312" w:hAnsi="Times New Roman" w:eastAsia="仿宋_GB2312"/>
          <w:sz w:val="32"/>
        </w:rPr>
        <w:t>因项目实施地点位于乡镇集镇区，涉及群众利益面广、协调难度大，群众协调工作耗时较长，影响了整体实施进度。目前已完成工程设计、招标投标等前期工作，已完成管网改造，路灯基础预埋、道路硬化及人行道工程正在实施，预计2025年5月底全面竣工。目前已经支付部分工程款53.765万元。</w:t>
      </w:r>
    </w:p>
    <w:p w14:paraId="176F2B92">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6.荔浦市双江镇龙坪村马岗屯灌溉渠道三面光建设工程</w:t>
      </w:r>
      <w:r>
        <w:rPr>
          <w:rFonts w:ascii="仿宋_GB2312" w:hAnsi="Times New Roman" w:eastAsia="仿宋_GB2312"/>
          <w:sz w:val="32"/>
        </w:rPr>
        <w:t>：</w:t>
      </w:r>
      <w:r>
        <w:rPr>
          <w:rFonts w:hint="eastAsia" w:ascii="仿宋_GB2312" w:hAnsi="Times New Roman" w:eastAsia="仿宋_GB2312"/>
          <w:sz w:val="32"/>
        </w:rPr>
        <w:t>已完成工程设计、招标投标等前期工作，项目已竣工待验收。因工程未达到支付条件，尚未支付。</w:t>
      </w:r>
    </w:p>
    <w:p w14:paraId="6E7D1AF2">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7.荔浦市双江镇集镇基础设施改造提升工程</w:t>
      </w:r>
      <w:r>
        <w:rPr>
          <w:rFonts w:ascii="仿宋_GB2312" w:hAnsi="Times New Roman" w:eastAsia="仿宋_GB2312"/>
          <w:sz w:val="32"/>
        </w:rPr>
        <w:t>：</w:t>
      </w:r>
      <w:r>
        <w:rPr>
          <w:rFonts w:hint="eastAsia" w:ascii="仿宋_GB2312" w:hAnsi="Times New Roman" w:eastAsia="仿宋_GB2312"/>
          <w:sz w:val="32"/>
        </w:rPr>
        <w:t>已完成工程设计、招标投标等前期工作，项目已竣工验收。正在审计结算中。目前已经支付部分工程款20万元</w:t>
      </w:r>
    </w:p>
    <w:p w14:paraId="293665CF">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8.荔浦市大塘镇大塘社区便民服务公共设施建设项目：由于项目实施地点与第一批项目相邻，施工方一致，故需等待第一批项目竣工后动工。目前已完成工程设计、招标投标等前期工作，项目尚未开工。因工程未达到支付条件，尚未支付。</w:t>
      </w:r>
    </w:p>
    <w:p w14:paraId="41B31551">
      <w:pPr>
        <w:spacing w:line="560" w:lineRule="exact"/>
        <w:ind w:firstLine="640" w:firstLineChars="200"/>
        <w:jc w:val="left"/>
        <w:rPr>
          <w:rFonts w:ascii="仿宋_GB2312" w:hAnsi="Times New Roman" w:eastAsia="仿宋_GB2312"/>
          <w:sz w:val="32"/>
        </w:rPr>
      </w:pPr>
      <w:r>
        <w:rPr>
          <w:rFonts w:hint="eastAsia" w:ascii="楷体_GB2312" w:hAnsi="Times New Roman" w:eastAsia="楷体_GB2312"/>
          <w:sz w:val="32"/>
        </w:rPr>
        <w:t>（三）资金绩效情况（或</w:t>
      </w:r>
      <w:r>
        <w:rPr>
          <w:rFonts w:ascii="楷体_GB2312" w:hAnsi="Times New Roman" w:eastAsia="楷体_GB2312"/>
          <w:sz w:val="32"/>
        </w:rPr>
        <w:t>政策</w:t>
      </w:r>
      <w:r>
        <w:rPr>
          <w:rFonts w:hint="eastAsia" w:ascii="楷体_GB2312" w:hAnsi="Times New Roman" w:eastAsia="楷体_GB2312"/>
          <w:sz w:val="32"/>
        </w:rPr>
        <w:t>实施</w:t>
      </w:r>
      <w:r>
        <w:rPr>
          <w:rFonts w:ascii="楷体_GB2312" w:hAnsi="Times New Roman" w:eastAsia="楷体_GB2312"/>
          <w:sz w:val="32"/>
        </w:rPr>
        <w:t>效果</w:t>
      </w:r>
      <w:r>
        <w:rPr>
          <w:rFonts w:hint="eastAsia" w:ascii="楷体_GB2312" w:hAnsi="Times New Roman" w:eastAsia="楷体_GB2312"/>
          <w:sz w:val="32"/>
        </w:rPr>
        <w:t>）。</w:t>
      </w:r>
    </w:p>
    <w:p w14:paraId="2C3A9382">
      <w:pPr>
        <w:spacing w:line="560" w:lineRule="exact"/>
        <w:ind w:firstLine="640" w:firstLineChars="200"/>
        <w:jc w:val="left"/>
        <w:rPr>
          <w:rFonts w:ascii="仿宋_GB2312" w:hAnsi="Times New Roman" w:eastAsia="仿宋_GB2312"/>
          <w:sz w:val="32"/>
        </w:rPr>
      </w:pPr>
      <w:r>
        <w:rPr>
          <w:rFonts w:ascii="仿宋_GB2312" w:hAnsi="Times New Roman" w:eastAsia="仿宋_GB2312"/>
          <w:sz w:val="32"/>
        </w:rPr>
        <w:t>革命老区专项资金项目的实施，有效改善了民生基础设施条件，人民群众受益。</w:t>
      </w:r>
      <w:r>
        <w:rPr>
          <w:rFonts w:hint="eastAsia" w:ascii="仿宋_GB2312" w:hAnsi="Times New Roman" w:eastAsia="仿宋_GB2312"/>
          <w:sz w:val="32"/>
        </w:rPr>
        <w:t>一是领导高度重视，做到及时组织、及时布置。二是各部门加强沟通，项目单位及时推进项目实施，财政部门及时下达项目预算，并根据项目实施单位上报资金使用计划，按项目、按进度拨付。三是强化制度管理，提高资金使用效益。按照《关于印发广西壮族自治区革命老区转移支付资金管理办法的通知》（桂财预［2019］104号）有关规定，结合我市实际，制定了《荔浦市革命老区转移支付资金管理办法》，进一步明确了专项资金的使用范围、财政部门和相关单位的职责分工，规范项目申报、实施的程序，加强项目资金的管理，建立健全管理机制。</w:t>
      </w:r>
    </w:p>
    <w:p w14:paraId="3A38F273">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1.制度机制建设：根据自治区相关管理办法，制定了《关于印发荔浦市革命老区转移支付资金管理办法的通知》（荔财预〔</w:t>
      </w:r>
      <w:r>
        <w:rPr>
          <w:rFonts w:ascii="仿宋_GB2312" w:hAnsi="Times New Roman" w:eastAsia="仿宋_GB2312"/>
          <w:sz w:val="32"/>
        </w:rPr>
        <w:t>2019〕3号）；项目申报经过可行性研究论证，并会议集体研究决定；本年度项目调整及时报送桂林市财政局备案并获批复；财政部门牵头对项目监督检查和绩效评价。</w:t>
      </w:r>
    </w:p>
    <w:p w14:paraId="69137E11">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2.项目管理：自治区下达指标后，在规定时间内向上申报项目，项目批复后均在</w:t>
      </w:r>
      <w:r>
        <w:rPr>
          <w:rFonts w:ascii="仿宋_GB2312" w:hAnsi="Times New Roman" w:eastAsia="仿宋_GB2312"/>
          <w:sz w:val="32"/>
        </w:rPr>
        <w:t>15日内项目预算指标下达至主管单位。财政部门督促主管单位及时施工。项目在规定范围内，按照评审、政府采购、合同签订、工程监理、竣工验收等相关程序进行全程管理，并编制明确、清晰、可量化的产出、效益、满意度绩效指标。</w:t>
      </w:r>
    </w:p>
    <w:p w14:paraId="4D43FABA">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3.资金管理</w:t>
      </w:r>
      <w:r>
        <w:rPr>
          <w:rFonts w:ascii="仿宋_GB2312" w:hAnsi="Times New Roman" w:eastAsia="仿宋_GB2312"/>
          <w:sz w:val="32"/>
        </w:rPr>
        <w:t>：202</w:t>
      </w:r>
      <w:r>
        <w:rPr>
          <w:rFonts w:hint="eastAsia" w:ascii="仿宋_GB2312" w:hAnsi="Times New Roman" w:eastAsia="仿宋_GB2312"/>
          <w:sz w:val="32"/>
        </w:rPr>
        <w:t>4</w:t>
      </w:r>
      <w:r>
        <w:rPr>
          <w:rFonts w:ascii="仿宋_GB2312" w:hAnsi="Times New Roman" w:eastAsia="仿宋_GB2312"/>
          <w:sz w:val="32"/>
        </w:rPr>
        <w:t>年革命老区项目资金5</w:t>
      </w:r>
      <w:r>
        <w:rPr>
          <w:rFonts w:hint="eastAsia" w:ascii="仿宋_GB2312" w:hAnsi="Times New Roman" w:eastAsia="仿宋_GB2312"/>
          <w:sz w:val="32"/>
        </w:rPr>
        <w:t>93</w:t>
      </w:r>
      <w:r>
        <w:rPr>
          <w:rFonts w:ascii="仿宋_GB2312" w:hAnsi="Times New Roman" w:eastAsia="仿宋_GB2312"/>
          <w:sz w:val="32"/>
        </w:rPr>
        <w:t>万元，截至202</w:t>
      </w:r>
      <w:r>
        <w:rPr>
          <w:rFonts w:hint="eastAsia" w:ascii="仿宋_GB2312" w:hAnsi="Times New Roman" w:eastAsia="仿宋_GB2312"/>
          <w:sz w:val="32"/>
        </w:rPr>
        <w:t>4</w:t>
      </w:r>
      <w:r>
        <w:rPr>
          <w:rFonts w:ascii="仿宋_GB2312" w:hAnsi="Times New Roman" w:eastAsia="仿宋_GB2312"/>
          <w:sz w:val="32"/>
        </w:rPr>
        <w:t>年12月31日累计支付</w:t>
      </w:r>
      <w:r>
        <w:rPr>
          <w:rFonts w:hint="eastAsia" w:ascii="仿宋_GB2312" w:hAnsi="Times New Roman" w:eastAsia="仿宋_GB2312"/>
          <w:sz w:val="32"/>
        </w:rPr>
        <w:t>85.765</w:t>
      </w:r>
      <w:r>
        <w:rPr>
          <w:rFonts w:ascii="仿宋_GB2312" w:hAnsi="Times New Roman" w:eastAsia="仿宋_GB2312"/>
          <w:sz w:val="32"/>
        </w:rPr>
        <w:t>万元，支付率为</w:t>
      </w:r>
      <w:r>
        <w:rPr>
          <w:rFonts w:hint="eastAsia" w:ascii="仿宋_GB2312" w:hAnsi="Times New Roman" w:eastAsia="仿宋_GB2312"/>
          <w:sz w:val="32"/>
        </w:rPr>
        <w:t>14.46%</w:t>
      </w:r>
      <w:r>
        <w:rPr>
          <w:rFonts w:ascii="仿宋_GB2312" w:hAnsi="Times New Roman" w:eastAsia="仿宋_GB2312"/>
          <w:sz w:val="32"/>
        </w:rPr>
        <w:t>，根据评价标准计算得分0分。不存在资金拨付在项目中标前、超方向、超范围、超标准、超用途使用等现象，项目资金按规定及时、准确核算。</w:t>
      </w:r>
    </w:p>
    <w:p w14:paraId="667275D8">
      <w:pPr>
        <w:spacing w:line="560" w:lineRule="exact"/>
        <w:ind w:firstLine="640" w:firstLineChars="200"/>
        <w:jc w:val="left"/>
        <w:rPr>
          <w:rFonts w:ascii="仿宋_GB2312" w:hAnsi="Times New Roman" w:eastAsia="仿宋_GB2312"/>
          <w:sz w:val="32"/>
          <w:highlight w:val="none"/>
        </w:rPr>
      </w:pPr>
      <w:r>
        <w:rPr>
          <w:rFonts w:hint="eastAsia" w:ascii="仿宋_GB2312" w:hAnsi="Times New Roman" w:eastAsia="仿宋_GB2312"/>
          <w:sz w:val="32"/>
          <w:highlight w:val="none"/>
        </w:rPr>
        <w:t>4.项目产出</w:t>
      </w:r>
      <w:r>
        <w:rPr>
          <w:rFonts w:ascii="仿宋_GB2312" w:hAnsi="Times New Roman" w:eastAsia="仿宋_GB2312"/>
          <w:sz w:val="32"/>
          <w:highlight w:val="none"/>
        </w:rPr>
        <w:t>：202</w:t>
      </w:r>
      <w:r>
        <w:rPr>
          <w:rFonts w:hint="eastAsia" w:ascii="仿宋_GB2312" w:hAnsi="Times New Roman" w:eastAsia="仿宋_GB2312"/>
          <w:sz w:val="32"/>
          <w:highlight w:val="none"/>
        </w:rPr>
        <w:t>4</w:t>
      </w:r>
      <w:r>
        <w:rPr>
          <w:rFonts w:ascii="仿宋_GB2312" w:hAnsi="Times New Roman" w:eastAsia="仿宋_GB2312"/>
          <w:sz w:val="32"/>
          <w:highlight w:val="none"/>
        </w:rPr>
        <w:t>年革命老区项目</w:t>
      </w:r>
      <w:r>
        <w:rPr>
          <w:rFonts w:hint="eastAsia" w:ascii="仿宋_GB2312" w:hAnsi="Times New Roman" w:eastAsia="仿宋_GB2312"/>
          <w:sz w:val="32"/>
          <w:highlight w:val="none"/>
        </w:rPr>
        <w:t>8</w:t>
      </w:r>
      <w:r>
        <w:rPr>
          <w:rFonts w:ascii="仿宋_GB2312" w:hAnsi="Times New Roman" w:eastAsia="仿宋_GB2312"/>
          <w:sz w:val="32"/>
          <w:highlight w:val="none"/>
        </w:rPr>
        <w:t>个，截至202</w:t>
      </w:r>
      <w:r>
        <w:rPr>
          <w:rFonts w:hint="eastAsia" w:ascii="仿宋_GB2312" w:hAnsi="Times New Roman" w:eastAsia="仿宋_GB2312"/>
          <w:sz w:val="32"/>
          <w:highlight w:val="none"/>
        </w:rPr>
        <w:t>4</w:t>
      </w:r>
      <w:r>
        <w:rPr>
          <w:rFonts w:ascii="仿宋_GB2312" w:hAnsi="Times New Roman" w:eastAsia="仿宋_GB2312"/>
          <w:sz w:val="32"/>
          <w:highlight w:val="none"/>
        </w:rPr>
        <w:t>年12月31日，</w:t>
      </w:r>
      <w:r>
        <w:rPr>
          <w:rFonts w:hint="eastAsia" w:ascii="仿宋_GB2312" w:hAnsi="Times New Roman" w:eastAsia="仿宋_GB2312"/>
          <w:sz w:val="32"/>
          <w:highlight w:val="none"/>
        </w:rPr>
        <w:t>4</w:t>
      </w:r>
      <w:r>
        <w:rPr>
          <w:rFonts w:ascii="仿宋_GB2312" w:hAnsi="Times New Roman" w:eastAsia="仿宋_GB2312"/>
          <w:sz w:val="32"/>
          <w:highlight w:val="none"/>
        </w:rPr>
        <w:t>个项目完工，</w:t>
      </w:r>
      <w:r>
        <w:rPr>
          <w:rFonts w:hint="eastAsia" w:ascii="仿宋_GB2312" w:hAnsi="Times New Roman" w:eastAsia="仿宋_GB2312"/>
          <w:sz w:val="32"/>
          <w:highlight w:val="none"/>
        </w:rPr>
        <w:t>4</w:t>
      </w:r>
      <w:r>
        <w:rPr>
          <w:rFonts w:ascii="仿宋_GB2312" w:hAnsi="Times New Roman" w:eastAsia="仿宋_GB2312"/>
          <w:sz w:val="32"/>
          <w:highlight w:val="none"/>
        </w:rPr>
        <w:t>个项目完成</w:t>
      </w:r>
      <w:r>
        <w:rPr>
          <w:rFonts w:hint="eastAsia" w:ascii="仿宋_GB2312" w:hAnsi="Times New Roman" w:eastAsia="仿宋_GB2312"/>
          <w:sz w:val="32"/>
          <w:highlight w:val="none"/>
        </w:rPr>
        <w:t>100</w:t>
      </w:r>
      <w:r>
        <w:rPr>
          <w:rFonts w:ascii="仿宋_GB2312" w:hAnsi="Times New Roman" w:eastAsia="仿宋_GB2312"/>
          <w:sz w:val="32"/>
          <w:highlight w:val="none"/>
        </w:rPr>
        <w:t>%，</w:t>
      </w:r>
      <w:r>
        <w:rPr>
          <w:rFonts w:hint="eastAsia" w:ascii="仿宋_GB2312" w:hAnsi="Times New Roman" w:eastAsia="仿宋_GB2312"/>
          <w:sz w:val="32"/>
          <w:highlight w:val="none"/>
          <w:lang w:val="en-US" w:eastAsia="zh-CN"/>
        </w:rPr>
        <w:t>1</w:t>
      </w:r>
      <w:r>
        <w:rPr>
          <w:rFonts w:ascii="仿宋_GB2312" w:hAnsi="Times New Roman" w:eastAsia="仿宋_GB2312"/>
          <w:sz w:val="32"/>
          <w:highlight w:val="none"/>
        </w:rPr>
        <w:t>个项目完成</w:t>
      </w:r>
      <w:r>
        <w:rPr>
          <w:rFonts w:hint="eastAsia" w:ascii="仿宋_GB2312" w:hAnsi="Times New Roman" w:eastAsia="仿宋_GB2312"/>
          <w:sz w:val="32"/>
          <w:highlight w:val="none"/>
        </w:rPr>
        <w:t>8</w:t>
      </w:r>
      <w:r>
        <w:rPr>
          <w:rFonts w:hint="eastAsia" w:ascii="仿宋_GB2312" w:hAnsi="Times New Roman" w:eastAsia="仿宋_GB2312"/>
          <w:sz w:val="32"/>
          <w:highlight w:val="none"/>
          <w:lang w:val="en-US" w:eastAsia="zh-CN"/>
        </w:rPr>
        <w:t>1</w:t>
      </w:r>
      <w:r>
        <w:rPr>
          <w:rFonts w:ascii="仿宋_GB2312" w:hAnsi="Times New Roman" w:eastAsia="仿宋_GB2312"/>
          <w:sz w:val="32"/>
          <w:highlight w:val="none"/>
        </w:rPr>
        <w:t>%，</w:t>
      </w:r>
      <w:r>
        <w:rPr>
          <w:rFonts w:hint="eastAsia" w:ascii="仿宋_GB2312" w:hAnsi="Times New Roman" w:eastAsia="仿宋_GB2312"/>
          <w:sz w:val="32"/>
          <w:highlight w:val="none"/>
          <w:lang w:val="en-US" w:eastAsia="zh-CN"/>
        </w:rPr>
        <w:t>1个项目完成80%，</w:t>
      </w:r>
      <w:r>
        <w:rPr>
          <w:rFonts w:hint="eastAsia" w:ascii="仿宋_GB2312" w:hAnsi="Times New Roman" w:eastAsia="仿宋_GB2312"/>
          <w:sz w:val="32"/>
          <w:highlight w:val="none"/>
        </w:rPr>
        <w:t>0个项目施工进度低于20%，2</w:t>
      </w:r>
      <w:r>
        <w:rPr>
          <w:rFonts w:ascii="仿宋_GB2312" w:hAnsi="Times New Roman" w:eastAsia="仿宋_GB2312"/>
          <w:sz w:val="32"/>
          <w:highlight w:val="none"/>
        </w:rPr>
        <w:t>个项目尚未开工。</w:t>
      </w:r>
    </w:p>
    <w:p w14:paraId="68F8E97B">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5.项目效果</w:t>
      </w:r>
      <w:r>
        <w:rPr>
          <w:rFonts w:ascii="仿宋_GB2312" w:hAnsi="Times New Roman" w:eastAsia="仿宋_GB2312"/>
          <w:sz w:val="32"/>
        </w:rPr>
        <w:t>：通过项目实施，开工的项目投入达到预期的政策目标，改善了民生基础设施条件，人民群众受益，建立后续维护运转投入机制。</w:t>
      </w:r>
      <w:r>
        <w:rPr>
          <w:rFonts w:hint="eastAsia" w:ascii="仿宋_GB2312" w:hAnsi="Times New Roman" w:eastAsia="仿宋_GB2312"/>
          <w:sz w:val="32"/>
        </w:rPr>
        <w:t>2</w:t>
      </w:r>
      <w:r>
        <w:rPr>
          <w:rFonts w:ascii="仿宋_GB2312" w:hAnsi="Times New Roman" w:eastAsia="仿宋_GB2312"/>
          <w:sz w:val="32"/>
        </w:rPr>
        <w:t>个项目因尚未开工，未能达到预期效果。</w:t>
      </w:r>
    </w:p>
    <w:p w14:paraId="7227C310">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6.违规违纪方面</w:t>
      </w:r>
      <w:r>
        <w:rPr>
          <w:rFonts w:ascii="仿宋_GB2312" w:hAnsi="Times New Roman" w:eastAsia="仿宋_GB2312"/>
          <w:sz w:val="32"/>
        </w:rPr>
        <w:t>：不存在因革命老区转移支付项目管理的重大失误；不存在该项目被上级或本级党委、政府、纪委、财政部门、审计部门书面通报批评等的问题。</w:t>
      </w:r>
    </w:p>
    <w:p w14:paraId="74F8D37C">
      <w:pPr>
        <w:spacing w:line="560" w:lineRule="exact"/>
        <w:ind w:firstLine="640" w:firstLineChars="200"/>
        <w:jc w:val="left"/>
        <w:rPr>
          <w:rFonts w:ascii="仿宋_GB2312" w:hAnsi="Times New Roman" w:eastAsia="仿宋_GB2312"/>
          <w:sz w:val="32"/>
        </w:rPr>
      </w:pPr>
      <w:r>
        <w:rPr>
          <w:rFonts w:hint="eastAsia" w:ascii="仿宋_GB2312" w:hAnsi="Times New Roman" w:eastAsia="仿宋_GB2312"/>
          <w:sz w:val="32"/>
        </w:rPr>
        <w:t>7.评分情况及评价结论：根据2024年度革命老区转移支付资金绩效评价情况，财政部门认真按照要求，对照</w:t>
      </w:r>
      <w:r>
        <w:rPr>
          <w:rFonts w:ascii="仿宋_GB2312" w:hAnsi="Times New Roman" w:eastAsia="仿宋_GB2312"/>
          <w:sz w:val="32"/>
        </w:rPr>
        <w:t>转移支付资金使用绩效评价表逐项自评打分，自评分为</w:t>
      </w:r>
      <w:r>
        <w:rPr>
          <w:rFonts w:hint="eastAsia" w:ascii="仿宋_GB2312" w:hAnsi="Times New Roman" w:eastAsia="仿宋_GB2312"/>
          <w:sz w:val="32"/>
        </w:rPr>
        <w:t>87.5</w:t>
      </w:r>
      <w:r>
        <w:rPr>
          <w:rFonts w:ascii="仿宋_GB2312" w:hAnsi="Times New Roman" w:eastAsia="仿宋_GB2312"/>
          <w:sz w:val="32"/>
        </w:rPr>
        <w:t>分。</w:t>
      </w:r>
    </w:p>
    <w:p w14:paraId="4038E725">
      <w:pPr>
        <w:spacing w:line="560" w:lineRule="exact"/>
        <w:ind w:firstLine="640" w:firstLineChars="200"/>
        <w:jc w:val="left"/>
        <w:rPr>
          <w:rFonts w:ascii="黑体" w:hAnsi="Times New Roman" w:eastAsia="黑体" w:cs="Times New Roman"/>
          <w:sz w:val="32"/>
        </w:rPr>
      </w:pPr>
      <w:r>
        <w:rPr>
          <w:rFonts w:hint="eastAsia" w:ascii="黑体" w:hAnsi="Times New Roman" w:eastAsia="黑体" w:cs="Times New Roman"/>
          <w:sz w:val="32"/>
        </w:rPr>
        <w:t>四、存在的困难和</w:t>
      </w:r>
      <w:r>
        <w:rPr>
          <w:rFonts w:ascii="黑体" w:hAnsi="Times New Roman" w:eastAsia="黑体" w:cs="Times New Roman"/>
          <w:sz w:val="32"/>
        </w:rPr>
        <w:t>问题</w:t>
      </w:r>
    </w:p>
    <w:p w14:paraId="72AFE7E4">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一是项目执行过程中，贯彻落实了资金管理办法的相关要求，但可能由于施工地理位置、整体规划等原因，造成项目实施进度缓慢，导致支出进度缓慢，部分资金集中在年底或者跨年支付。</w:t>
      </w:r>
    </w:p>
    <w:p w14:paraId="6D713C92">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二是在项目申报时，充分考虑各乡镇、各部门的实际困难申报了项目，但前期工作准备不足，导致项目开工慢，极大影响了施工进度。</w:t>
      </w:r>
    </w:p>
    <w:p w14:paraId="41FA4D8F">
      <w:pPr>
        <w:spacing w:line="560" w:lineRule="exact"/>
        <w:ind w:firstLine="640" w:firstLineChars="200"/>
        <w:jc w:val="left"/>
        <w:rPr>
          <w:rFonts w:ascii="黑体" w:hAnsi="Times New Roman" w:eastAsia="黑体" w:cs="Times New Roman"/>
          <w:sz w:val="32"/>
        </w:rPr>
      </w:pPr>
      <w:r>
        <w:rPr>
          <w:rFonts w:hint="eastAsia" w:ascii="黑体" w:hAnsi="Times New Roman" w:eastAsia="黑体" w:cs="Times New Roman"/>
          <w:sz w:val="32"/>
        </w:rPr>
        <w:t>五、下一步</w:t>
      </w:r>
      <w:r>
        <w:rPr>
          <w:rFonts w:ascii="黑体" w:hAnsi="Times New Roman" w:eastAsia="黑体" w:cs="Times New Roman"/>
          <w:sz w:val="32"/>
        </w:rPr>
        <w:t>工作计划</w:t>
      </w:r>
    </w:p>
    <w:p w14:paraId="5231C822">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1.强化项目储备和选择。结合县域发展，在基础设施、社会事业发展、民生等领域，策划、筛选一批好项目，确保项目储备不断优化。项目申报时，在不影响县域整体规划的前提下，优先选择已完成项目前期工作的项目申报。</w:t>
      </w:r>
    </w:p>
    <w:p w14:paraId="0DA210C4">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2.加强资金管理。加强对建设项目的预算管理，根据国库集中支付制度管理要求，严格按照项目预算及工程实施进度拨付资金，加快资金支出进度。对于已签订合同且进场施工的项目，可在施工合同中按工程总价的30%约定预付备料款，并在达到条件时予以拨付；对已完成的工程量，经监理签字认可，可以按80%比例分期分批拨付资金；对已完工项目及时组织项目核验、工程验收和结算审计，及时完成尾款支付。</w:t>
      </w:r>
    </w:p>
    <w:p w14:paraId="54BE1668">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3.加强监督。加强项目的进度管理，在项目实施过程中，加强实地监督检查，及时发现和纠正问题。</w:t>
      </w:r>
    </w:p>
    <w:p w14:paraId="05FD5F3D">
      <w:pPr>
        <w:spacing w:line="560" w:lineRule="exact"/>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4.推进项目绩效工作。项目申报时，加强项目绩效目标设定工作；项目竣工验收后，做好项目资料的收集、整理，完成项目绩效评价工作。</w:t>
      </w:r>
    </w:p>
    <w:p w14:paraId="6CC90CBE">
      <w:pPr>
        <w:spacing w:line="560" w:lineRule="exact"/>
        <w:ind w:firstLine="640" w:firstLineChars="200"/>
        <w:jc w:val="left"/>
        <w:rPr>
          <w:rFonts w:ascii="仿宋_GB2312" w:hAnsi="Times New Roman" w:eastAsia="仿宋_GB2312" w:cs="Times New Roman"/>
          <w:sz w:val="32"/>
        </w:rPr>
      </w:pPr>
    </w:p>
    <w:sectPr>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WM1NWY3ZmRmNTE4ZjJhNjdhZGU5Yzk0ZWE0ZDMifQ=="/>
  </w:docVars>
  <w:rsids>
    <w:rsidRoot w:val="00BB6571"/>
    <w:rsid w:val="00020591"/>
    <w:rsid w:val="00047E04"/>
    <w:rsid w:val="000564F1"/>
    <w:rsid w:val="000812E8"/>
    <w:rsid w:val="00085AB4"/>
    <w:rsid w:val="000A46F1"/>
    <w:rsid w:val="000B22CB"/>
    <w:rsid w:val="000D0D80"/>
    <w:rsid w:val="000E3329"/>
    <w:rsid w:val="000F7314"/>
    <w:rsid w:val="00115E9C"/>
    <w:rsid w:val="0013597C"/>
    <w:rsid w:val="0014679E"/>
    <w:rsid w:val="00153CE2"/>
    <w:rsid w:val="00162CF1"/>
    <w:rsid w:val="00193BC9"/>
    <w:rsid w:val="001954F8"/>
    <w:rsid w:val="001A2FF4"/>
    <w:rsid w:val="001E03F2"/>
    <w:rsid w:val="001F33E4"/>
    <w:rsid w:val="00213FAF"/>
    <w:rsid w:val="00244D68"/>
    <w:rsid w:val="00252675"/>
    <w:rsid w:val="002559A9"/>
    <w:rsid w:val="00290B73"/>
    <w:rsid w:val="00296D7B"/>
    <w:rsid w:val="002B3C23"/>
    <w:rsid w:val="002F563F"/>
    <w:rsid w:val="00321803"/>
    <w:rsid w:val="00322EFD"/>
    <w:rsid w:val="00332BFE"/>
    <w:rsid w:val="00343C7F"/>
    <w:rsid w:val="003950AC"/>
    <w:rsid w:val="003C7C6F"/>
    <w:rsid w:val="00414372"/>
    <w:rsid w:val="00456EC8"/>
    <w:rsid w:val="00460DC7"/>
    <w:rsid w:val="0048609D"/>
    <w:rsid w:val="004959CC"/>
    <w:rsid w:val="004C5A71"/>
    <w:rsid w:val="004D557B"/>
    <w:rsid w:val="004E0904"/>
    <w:rsid w:val="004E558F"/>
    <w:rsid w:val="00530734"/>
    <w:rsid w:val="00557BE9"/>
    <w:rsid w:val="00565E42"/>
    <w:rsid w:val="00602D78"/>
    <w:rsid w:val="00614ABE"/>
    <w:rsid w:val="00616457"/>
    <w:rsid w:val="00676B88"/>
    <w:rsid w:val="0068002F"/>
    <w:rsid w:val="006B2C1D"/>
    <w:rsid w:val="006C738A"/>
    <w:rsid w:val="006D09A9"/>
    <w:rsid w:val="006D458F"/>
    <w:rsid w:val="00750D7D"/>
    <w:rsid w:val="007628E4"/>
    <w:rsid w:val="007A4A6D"/>
    <w:rsid w:val="007A6A84"/>
    <w:rsid w:val="007B7B66"/>
    <w:rsid w:val="008140EF"/>
    <w:rsid w:val="00840413"/>
    <w:rsid w:val="00851046"/>
    <w:rsid w:val="00880EEF"/>
    <w:rsid w:val="008906B8"/>
    <w:rsid w:val="00892ED2"/>
    <w:rsid w:val="008B1730"/>
    <w:rsid w:val="008C3F4C"/>
    <w:rsid w:val="0091267B"/>
    <w:rsid w:val="009E24B8"/>
    <w:rsid w:val="009F3DB5"/>
    <w:rsid w:val="009F51C4"/>
    <w:rsid w:val="00A005F8"/>
    <w:rsid w:val="00A048DD"/>
    <w:rsid w:val="00A1023C"/>
    <w:rsid w:val="00A16419"/>
    <w:rsid w:val="00AB4D70"/>
    <w:rsid w:val="00AD2012"/>
    <w:rsid w:val="00B32C4D"/>
    <w:rsid w:val="00B708E2"/>
    <w:rsid w:val="00B70A9F"/>
    <w:rsid w:val="00B76EF9"/>
    <w:rsid w:val="00BB2ABD"/>
    <w:rsid w:val="00BB5756"/>
    <w:rsid w:val="00BB6571"/>
    <w:rsid w:val="00BC7EB6"/>
    <w:rsid w:val="00BF39BA"/>
    <w:rsid w:val="00C1495C"/>
    <w:rsid w:val="00C54177"/>
    <w:rsid w:val="00C75AA7"/>
    <w:rsid w:val="00C91F5F"/>
    <w:rsid w:val="00CA58ED"/>
    <w:rsid w:val="00CB1BE2"/>
    <w:rsid w:val="00CB77BE"/>
    <w:rsid w:val="00CB7EB9"/>
    <w:rsid w:val="00CF10EF"/>
    <w:rsid w:val="00D26A1B"/>
    <w:rsid w:val="00D31D07"/>
    <w:rsid w:val="00D37F38"/>
    <w:rsid w:val="00D864F8"/>
    <w:rsid w:val="00D948FE"/>
    <w:rsid w:val="00D95EE6"/>
    <w:rsid w:val="00DE6C2C"/>
    <w:rsid w:val="00DF7032"/>
    <w:rsid w:val="00E051C2"/>
    <w:rsid w:val="00E230F5"/>
    <w:rsid w:val="00E35675"/>
    <w:rsid w:val="00E5548C"/>
    <w:rsid w:val="00EB5808"/>
    <w:rsid w:val="00EC05A3"/>
    <w:rsid w:val="00EC073A"/>
    <w:rsid w:val="00EC31FC"/>
    <w:rsid w:val="00EC40FD"/>
    <w:rsid w:val="00ED20E1"/>
    <w:rsid w:val="00ED5BF7"/>
    <w:rsid w:val="00F36DD8"/>
    <w:rsid w:val="00F41027"/>
    <w:rsid w:val="00F75BB0"/>
    <w:rsid w:val="00F86848"/>
    <w:rsid w:val="00FA29EA"/>
    <w:rsid w:val="00FE2915"/>
    <w:rsid w:val="00FF6B8C"/>
    <w:rsid w:val="02B66127"/>
    <w:rsid w:val="034D095E"/>
    <w:rsid w:val="04F27A0F"/>
    <w:rsid w:val="050E236F"/>
    <w:rsid w:val="06055520"/>
    <w:rsid w:val="076B3AA9"/>
    <w:rsid w:val="08AA4C4F"/>
    <w:rsid w:val="098A46BA"/>
    <w:rsid w:val="09F56107"/>
    <w:rsid w:val="0B923CFA"/>
    <w:rsid w:val="0ED14B39"/>
    <w:rsid w:val="127E6D86"/>
    <w:rsid w:val="147C10A3"/>
    <w:rsid w:val="197131A1"/>
    <w:rsid w:val="199B1FCC"/>
    <w:rsid w:val="1EEE2B9E"/>
    <w:rsid w:val="217A2E0F"/>
    <w:rsid w:val="21A5207B"/>
    <w:rsid w:val="27D05536"/>
    <w:rsid w:val="28247630"/>
    <w:rsid w:val="2BB807BB"/>
    <w:rsid w:val="2D0F4D53"/>
    <w:rsid w:val="2D3717B1"/>
    <w:rsid w:val="2E7C01C6"/>
    <w:rsid w:val="2FF65D56"/>
    <w:rsid w:val="335A2AA0"/>
    <w:rsid w:val="377A54BF"/>
    <w:rsid w:val="3AE113B1"/>
    <w:rsid w:val="3C8B3CCA"/>
    <w:rsid w:val="40A62E81"/>
    <w:rsid w:val="4574354D"/>
    <w:rsid w:val="458F482B"/>
    <w:rsid w:val="48384D06"/>
    <w:rsid w:val="4B78366B"/>
    <w:rsid w:val="512C73D2"/>
    <w:rsid w:val="52642B9B"/>
    <w:rsid w:val="552B5ED7"/>
    <w:rsid w:val="55C951EF"/>
    <w:rsid w:val="560A5B5A"/>
    <w:rsid w:val="56A63783"/>
    <w:rsid w:val="5A470DD9"/>
    <w:rsid w:val="5AB126F6"/>
    <w:rsid w:val="5BC87CF7"/>
    <w:rsid w:val="5D720862"/>
    <w:rsid w:val="65DC2D1D"/>
    <w:rsid w:val="694E2184"/>
    <w:rsid w:val="698C2CAC"/>
    <w:rsid w:val="6E2C680B"/>
    <w:rsid w:val="6E9572A0"/>
    <w:rsid w:val="6E9A19C7"/>
    <w:rsid w:val="6EA45A0E"/>
    <w:rsid w:val="6FDE3B35"/>
    <w:rsid w:val="70AF5E5C"/>
    <w:rsid w:val="75151DA7"/>
    <w:rsid w:val="75683B7A"/>
    <w:rsid w:val="7592164A"/>
    <w:rsid w:val="75AA5A73"/>
    <w:rsid w:val="76AE24B4"/>
    <w:rsid w:val="7916449A"/>
    <w:rsid w:val="7A8B6668"/>
    <w:rsid w:val="7AAA2F92"/>
    <w:rsid w:val="7B38059E"/>
    <w:rsid w:val="7B424F78"/>
    <w:rsid w:val="7B4E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3520</Words>
  <Characters>3729</Characters>
  <Lines>27</Lines>
  <Paragraphs>7</Paragraphs>
  <TotalTime>25</TotalTime>
  <ScaleCrop>false</ScaleCrop>
  <LinksUpToDate>false</LinksUpToDate>
  <CharactersWithSpaces>3729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2025-05-21T12:38:00Z</dcterms:created>
  <dc:creator>俞点</dc:creator>
  <cp:lastModifiedBy>season</cp:lastModifiedBy>
  <dcterms:modified xsi:type="dcterms:W3CDTF">2025-05-23T01:46:44Z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430801FAECDE4302AA034046CFC984C3_12</vt:lpwstr>
  </property>
  <property fmtid="{D5CDD505-2E9C-101B-9397-08002B2CF9AE}" pid="4" name="KSOTemplateDocerSaveRecord">
    <vt:lpwstr>eyJoZGlkIjoiN2M0MWM1NWY3ZmRmNTE4ZjJhNjdhZGU5Yzk0ZWE0ZDMiLCJ1c2VySWQiOiIyNDY2MzAyMDQifQ==</vt:lpwstr>
  </property>
</Properties>
</file>