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pPr>
    </w:p>
    <w:p>
      <w:pPr>
        <w:ind w:firstLine="640"/>
      </w:pPr>
    </w:p>
    <w:p>
      <w:pPr>
        <w:ind w:firstLine="640"/>
      </w:pPr>
    </w:p>
    <w:p>
      <w:pPr>
        <w:ind w:firstLine="640"/>
      </w:pPr>
    </w:p>
    <w:p>
      <w:pPr>
        <w:widowControl w:val="0"/>
        <w:spacing w:line="240" w:lineRule="auto"/>
        <w:ind w:firstLine="0" w:firstLineChars="0"/>
        <w:jc w:val="center"/>
        <w:rPr>
          <w:rFonts w:ascii="方正小标宋_GBK" w:hAnsi="方正小标宋_GBK" w:eastAsia="方正小标宋_GBK" w:cs="方正小标宋_GBK"/>
          <w:sz w:val="52"/>
          <w:szCs w:val="52"/>
          <w:lang w:bidi="ar"/>
        </w:rPr>
      </w:pPr>
      <w:r>
        <w:rPr>
          <w:rFonts w:hint="eastAsia" w:ascii="方正小标宋_GBK" w:hAnsi="方正小标宋_GBK" w:eastAsia="方正小标宋_GBK" w:cs="方正小标宋_GBK"/>
          <w:sz w:val="52"/>
          <w:szCs w:val="52"/>
          <w:lang w:bidi="ar"/>
        </w:rPr>
        <w:t>荔浦市国土空间总体规划</w:t>
      </w:r>
    </w:p>
    <w:p>
      <w:pPr>
        <w:widowControl w:val="0"/>
        <w:spacing w:line="240" w:lineRule="auto"/>
        <w:ind w:firstLine="0" w:firstLineChars="0"/>
        <w:jc w:val="center"/>
        <w:rPr>
          <w:rFonts w:ascii="方正小标宋_GBK" w:hAnsi="方正小标宋_GBK" w:eastAsia="方正小标宋_GBK" w:cs="方正小标宋_GBK"/>
          <w:sz w:val="52"/>
          <w:szCs w:val="52"/>
          <w:lang w:bidi="ar"/>
        </w:rPr>
      </w:pPr>
      <w:r>
        <w:rPr>
          <w:rFonts w:hint="eastAsia" w:ascii="方正小标宋_GBK" w:hAnsi="方正小标宋_GBK" w:eastAsia="方正小标宋_GBK" w:cs="方正小标宋_GBK"/>
          <w:sz w:val="52"/>
          <w:szCs w:val="52"/>
          <w:lang w:bidi="ar"/>
        </w:rPr>
        <w:t>（2021—2035年）</w:t>
      </w:r>
    </w:p>
    <w:p>
      <w:pPr>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规划说明</w:t>
      </w:r>
    </w:p>
    <w:p>
      <w:pPr>
        <w:ind w:firstLine="0" w:firstLineChars="0"/>
        <w:jc w:val="center"/>
        <w:rPr>
          <w:rFonts w:ascii="方正小标宋_GBK" w:hAnsi="方正小标宋_GBK" w:eastAsia="方正小标宋_GBK" w:cs="方正小标宋_GBK"/>
          <w:sz w:val="44"/>
          <w:szCs w:val="44"/>
        </w:rPr>
      </w:pPr>
      <w:r>
        <w:rPr>
          <w:rFonts w:hint="eastAsia" w:ascii="楷体_GB2312" w:hAnsi="楷体_GB2312" w:eastAsia="楷体_GB2312" w:cs="楷体_GB2312"/>
          <w:sz w:val="36"/>
          <w:szCs w:val="36"/>
          <w:lang w:bidi="ar"/>
        </w:rPr>
        <w:t>（</w:t>
      </w:r>
      <w:r>
        <w:rPr>
          <w:rFonts w:ascii="楷体_GB2312" w:hAnsi="楷体_GB2312" w:eastAsia="楷体_GB2312" w:cs="楷体_GB2312"/>
          <w:sz w:val="36"/>
          <w:szCs w:val="36"/>
          <w:lang w:bidi="ar"/>
        </w:rPr>
        <w:t>报批</w:t>
      </w:r>
      <w:r>
        <w:rPr>
          <w:rFonts w:hint="eastAsia" w:ascii="楷体_GB2312" w:hAnsi="楷体_GB2312" w:eastAsia="楷体_GB2312" w:cs="楷体_GB2312"/>
          <w:sz w:val="36"/>
          <w:szCs w:val="36"/>
          <w:lang w:bidi="ar"/>
        </w:rPr>
        <w:t>稿）</w:t>
      </w:r>
    </w:p>
    <w:p>
      <w:pPr>
        <w:ind w:firstLine="0" w:firstLineChars="0"/>
        <w:jc w:val="center"/>
        <w:rPr>
          <w:rFonts w:ascii="楷体_GB2312" w:hAnsi="楷体_GB2312" w:eastAsia="楷体_GB2312" w:cs="楷体_GB2312"/>
          <w:sz w:val="36"/>
          <w:szCs w:val="36"/>
        </w:rPr>
      </w:pPr>
    </w:p>
    <w:p>
      <w:pPr>
        <w:ind w:firstLine="0" w:firstLineChars="0"/>
        <w:jc w:val="center"/>
        <w:rPr>
          <w:rFonts w:ascii="楷体_GB2312" w:hAnsi="楷体_GB2312" w:eastAsia="楷体_GB2312" w:cs="楷体_GB2312"/>
          <w:sz w:val="36"/>
          <w:szCs w:val="36"/>
        </w:rPr>
      </w:pPr>
    </w:p>
    <w:p>
      <w:pPr>
        <w:ind w:firstLine="0" w:firstLineChars="0"/>
        <w:jc w:val="center"/>
        <w:rPr>
          <w:rFonts w:ascii="楷体_GB2312" w:hAnsi="楷体_GB2312" w:eastAsia="楷体_GB2312" w:cs="楷体_GB2312"/>
          <w:sz w:val="36"/>
          <w:szCs w:val="36"/>
        </w:rPr>
      </w:pPr>
    </w:p>
    <w:p>
      <w:pPr>
        <w:ind w:firstLine="0" w:firstLineChars="0"/>
        <w:jc w:val="center"/>
        <w:rPr>
          <w:rFonts w:ascii="楷体_GB2312" w:hAnsi="楷体_GB2312" w:eastAsia="楷体_GB2312" w:cs="楷体_GB2312"/>
          <w:sz w:val="36"/>
          <w:szCs w:val="36"/>
        </w:rPr>
      </w:pPr>
    </w:p>
    <w:p>
      <w:pPr>
        <w:ind w:firstLine="0" w:firstLineChars="0"/>
        <w:jc w:val="center"/>
        <w:rPr>
          <w:rFonts w:ascii="楷体_GB2312" w:hAnsi="楷体_GB2312" w:eastAsia="楷体_GB2312" w:cs="楷体_GB2312"/>
          <w:sz w:val="36"/>
          <w:szCs w:val="36"/>
        </w:rPr>
      </w:pPr>
    </w:p>
    <w:p>
      <w:pPr>
        <w:ind w:firstLine="0" w:firstLineChars="0"/>
        <w:jc w:val="center"/>
        <w:rPr>
          <w:rFonts w:ascii="楷体_GB2312" w:hAnsi="楷体_GB2312" w:eastAsia="楷体_GB2312" w:cs="楷体_GB2312"/>
          <w:sz w:val="36"/>
          <w:szCs w:val="36"/>
        </w:rPr>
      </w:pPr>
    </w:p>
    <w:p>
      <w:pPr>
        <w:ind w:firstLine="0" w:firstLineChars="0"/>
        <w:jc w:val="center"/>
        <w:rPr>
          <w:rFonts w:ascii="楷体_GB2312" w:hAnsi="楷体_GB2312" w:eastAsia="楷体_GB2312" w:cs="楷体_GB2312"/>
          <w:sz w:val="36"/>
          <w:szCs w:val="36"/>
        </w:rPr>
      </w:pPr>
    </w:p>
    <w:p>
      <w:pPr>
        <w:ind w:firstLine="0" w:firstLineChars="0"/>
        <w:jc w:val="center"/>
        <w:rPr>
          <w:rFonts w:ascii="楷体_GB2312" w:hAnsi="楷体_GB2312" w:eastAsia="楷体_GB2312" w:cs="楷体_GB2312"/>
          <w:sz w:val="36"/>
          <w:szCs w:val="36"/>
        </w:rPr>
      </w:pPr>
    </w:p>
    <w:p>
      <w:pPr>
        <w:ind w:firstLine="0" w:firstLineChars="0"/>
        <w:jc w:val="center"/>
        <w:rPr>
          <w:rFonts w:ascii="楷体_GB2312" w:hAnsi="楷体_GB2312" w:eastAsia="楷体_GB2312" w:cs="楷体_GB2312"/>
          <w:sz w:val="36"/>
          <w:szCs w:val="36"/>
        </w:rPr>
      </w:pPr>
    </w:p>
    <w:p>
      <w:pPr>
        <w:widowControl w:val="0"/>
        <w:spacing w:line="240" w:lineRule="auto"/>
        <w:ind w:firstLine="0" w:firstLineChars="0"/>
        <w:jc w:val="center"/>
        <w:rPr>
          <w:rFonts w:ascii="楷体_GB2312" w:hAnsi="楷体_GB2312" w:eastAsia="楷体_GB2312" w:cs="楷体_GB2312"/>
          <w:szCs w:val="32"/>
        </w:rPr>
      </w:pPr>
      <w:r>
        <w:rPr>
          <w:rFonts w:ascii="楷体_GB2312" w:hAnsi="楷体_GB2312" w:eastAsia="楷体_GB2312" w:cs="楷体_GB2312"/>
          <w:szCs w:val="32"/>
        </w:rPr>
        <w:t>荔浦市人民政府</w:t>
      </w:r>
    </w:p>
    <w:p>
      <w:pPr>
        <w:ind w:firstLine="0" w:firstLineChars="0"/>
        <w:jc w:val="center"/>
        <w:rPr>
          <w:rFonts w:ascii="楷体_GB2312" w:hAnsi="楷体_GB2312" w:eastAsia="楷体_GB2312" w:cs="楷体_GB2312"/>
          <w:szCs w:val="32"/>
        </w:rPr>
      </w:pPr>
      <w:r>
        <w:rPr>
          <w:rFonts w:ascii="楷体_GB2312" w:hAnsi="楷体_GB2312" w:eastAsia="楷体_GB2312" w:cs="楷体_GB2312"/>
          <w:szCs w:val="32"/>
          <w:lang w:bidi="ar"/>
        </w:rPr>
        <w:t>二〇二</w:t>
      </w:r>
      <w:r>
        <w:rPr>
          <w:rFonts w:hint="eastAsia" w:ascii="楷体_GB2312" w:hAnsi="楷体_GB2312" w:eastAsia="楷体_GB2312" w:cs="楷体_GB2312"/>
          <w:szCs w:val="32"/>
          <w:lang w:bidi="ar"/>
        </w:rPr>
        <w:t>四</w:t>
      </w:r>
      <w:r>
        <w:rPr>
          <w:rFonts w:ascii="楷体_GB2312" w:hAnsi="楷体_GB2312" w:eastAsia="楷体_GB2312" w:cs="楷体_GB2312"/>
          <w:szCs w:val="32"/>
          <w:lang w:bidi="ar"/>
        </w:rPr>
        <w:t>年</w:t>
      </w:r>
      <w:r>
        <w:rPr>
          <w:rFonts w:hint="eastAsia" w:ascii="楷体_GB2312" w:hAnsi="楷体_GB2312" w:eastAsia="楷体_GB2312" w:cs="楷体_GB2312"/>
          <w:szCs w:val="32"/>
          <w:lang w:bidi="ar"/>
        </w:rPr>
        <w:t>一</w:t>
      </w:r>
      <w:r>
        <w:rPr>
          <w:rFonts w:ascii="楷体_GB2312" w:hAnsi="楷体_GB2312" w:eastAsia="楷体_GB2312" w:cs="楷体_GB2312"/>
          <w:szCs w:val="32"/>
          <w:lang w:bidi="ar"/>
        </w:rPr>
        <w:t>月</w:t>
      </w:r>
    </w:p>
    <w:p>
      <w:pPr>
        <w:tabs>
          <w:tab w:val="center" w:pos="4153"/>
          <w:tab w:val="right" w:pos="8306"/>
        </w:tabs>
        <w:ind w:firstLine="0" w:firstLineChars="0"/>
        <w:jc w:val="left"/>
        <w:rPr>
          <w:rFonts w:ascii="黑体" w:hAnsi="黑体" w:eastAsia="黑体"/>
          <w:b/>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ascii="黑体" w:hAnsi="黑体" w:eastAsia="黑体"/>
          <w:b/>
          <w:sz w:val="30"/>
          <w:szCs w:val="30"/>
        </w:rPr>
        <w:tab/>
      </w:r>
    </w:p>
    <w:p>
      <w:pPr>
        <w:widowControl w:val="0"/>
        <w:spacing w:line="240" w:lineRule="auto"/>
        <w:ind w:firstLine="0" w:firstLineChars="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 xml:space="preserve">目 </w:t>
      </w:r>
      <w:r>
        <w:rPr>
          <w:rFonts w:ascii="方正小标宋_GBK" w:hAnsi="方正小标宋_GBK" w:eastAsia="方正小标宋_GBK" w:cs="方正小标宋_GBK"/>
          <w:sz w:val="36"/>
          <w:szCs w:val="36"/>
        </w:rPr>
        <w:t xml:space="preserve"> </w:t>
      </w:r>
      <w:r>
        <w:rPr>
          <w:rFonts w:hint="eastAsia" w:ascii="方正小标宋_GBK" w:hAnsi="方正小标宋_GBK" w:eastAsia="方正小标宋_GBK" w:cs="方正小标宋_GBK"/>
          <w:sz w:val="36"/>
          <w:szCs w:val="36"/>
        </w:rPr>
        <w:t>录</w:t>
      </w:r>
    </w:p>
    <w:p>
      <w:pPr>
        <w:pStyle w:val="24"/>
        <w:tabs>
          <w:tab w:val="left" w:pos="960"/>
          <w:tab w:val="right" w:leader="dot" w:pos="8296"/>
        </w:tabs>
        <w:spacing w:before="0" w:line="600" w:lineRule="exact"/>
        <w:rPr>
          <w:rFonts w:asciiTheme="minorHAnsi" w:eastAsiaTheme="minorEastAsia"/>
          <w:bCs w:val="0"/>
          <w:caps w:val="0"/>
          <w:sz w:val="21"/>
          <w:szCs w:val="22"/>
        </w:rPr>
      </w:pPr>
      <w:r>
        <w:rPr>
          <w:b/>
          <w:caps w:val="0"/>
        </w:rPr>
        <w:fldChar w:fldCharType="begin"/>
      </w:r>
      <w:r>
        <w:rPr>
          <w:b/>
          <w:caps w:val="0"/>
        </w:rPr>
        <w:instrText xml:space="preserve"> TOC \o "1-2" \h \z \u </w:instrText>
      </w:r>
      <w:r>
        <w:rPr>
          <w:b/>
          <w:caps w:val="0"/>
        </w:rPr>
        <w:fldChar w:fldCharType="separate"/>
      </w:r>
      <w:r>
        <w:fldChar w:fldCharType="begin"/>
      </w:r>
      <w:r>
        <w:instrText xml:space="preserve"> HYPERLINK \l "_Toc157018453" </w:instrText>
      </w:r>
      <w:r>
        <w:fldChar w:fldCharType="separate"/>
      </w:r>
      <w:r>
        <w:rPr>
          <w:rStyle w:val="34"/>
        </w:rPr>
        <w:t>一、</w:t>
      </w:r>
      <w:r>
        <w:rPr>
          <w:rFonts w:asciiTheme="minorHAnsi" w:eastAsiaTheme="minorEastAsia"/>
          <w:bCs w:val="0"/>
          <w:caps w:val="0"/>
          <w:sz w:val="21"/>
          <w:szCs w:val="22"/>
        </w:rPr>
        <w:tab/>
      </w:r>
      <w:r>
        <w:rPr>
          <w:rStyle w:val="34"/>
        </w:rPr>
        <w:t>规划编制背景和过程</w:t>
      </w:r>
      <w:r>
        <w:tab/>
      </w:r>
      <w:r>
        <w:fldChar w:fldCharType="begin"/>
      </w:r>
      <w:r>
        <w:instrText xml:space="preserve"> PAGEREF _Toc157018453 \h </w:instrText>
      </w:r>
      <w:r>
        <w:fldChar w:fldCharType="separate"/>
      </w:r>
      <w:r>
        <w:t>1</w:t>
      </w:r>
      <w:r>
        <w:fldChar w:fldCharType="end"/>
      </w:r>
      <w:r>
        <w:fldChar w:fldCharType="end"/>
      </w:r>
    </w:p>
    <w:p>
      <w:pPr>
        <w:pStyle w:val="28"/>
        <w:tabs>
          <w:tab w:val="left" w:pos="1440"/>
        </w:tabs>
        <w:spacing w:before="0" w:line="600" w:lineRule="exact"/>
        <w:ind w:firstLine="640"/>
        <w:rPr>
          <w:rFonts w:eastAsiaTheme="minorEastAsia"/>
          <w:bCs w:val="0"/>
          <w:sz w:val="21"/>
          <w:szCs w:val="22"/>
        </w:rPr>
      </w:pPr>
      <w:r>
        <w:fldChar w:fldCharType="begin"/>
      </w:r>
      <w:r>
        <w:instrText xml:space="preserve"> HYPERLINK \l "_Toc157018454" </w:instrText>
      </w:r>
      <w:r>
        <w:fldChar w:fldCharType="separate"/>
      </w:r>
      <w:r>
        <w:rPr>
          <w:rStyle w:val="34"/>
          <w:rFonts w:hAnsi="黑体"/>
        </w:rPr>
        <w:t>(一)</w:t>
      </w:r>
      <w:r>
        <w:rPr>
          <w:rFonts w:eastAsiaTheme="minorEastAsia"/>
          <w:bCs w:val="0"/>
          <w:sz w:val="21"/>
          <w:szCs w:val="22"/>
        </w:rPr>
        <w:tab/>
      </w:r>
      <w:r>
        <w:rPr>
          <w:rStyle w:val="34"/>
          <w:rFonts w:hAnsi="黑体"/>
        </w:rPr>
        <w:t>编制背景</w:t>
      </w:r>
      <w:r>
        <w:tab/>
      </w:r>
      <w:r>
        <w:fldChar w:fldCharType="begin"/>
      </w:r>
      <w:r>
        <w:instrText xml:space="preserve"> PAGEREF _Toc157018454 \h </w:instrText>
      </w:r>
      <w:r>
        <w:fldChar w:fldCharType="separate"/>
      </w:r>
      <w:r>
        <w:t>1</w:t>
      </w:r>
      <w:r>
        <w:fldChar w:fldCharType="end"/>
      </w:r>
      <w:r>
        <w:fldChar w:fldCharType="end"/>
      </w:r>
    </w:p>
    <w:p>
      <w:pPr>
        <w:pStyle w:val="28"/>
        <w:tabs>
          <w:tab w:val="left" w:pos="1440"/>
        </w:tabs>
        <w:spacing w:before="0" w:line="600" w:lineRule="exact"/>
        <w:ind w:firstLine="640"/>
        <w:rPr>
          <w:rFonts w:eastAsiaTheme="minorEastAsia"/>
          <w:bCs w:val="0"/>
          <w:sz w:val="21"/>
          <w:szCs w:val="22"/>
        </w:rPr>
      </w:pPr>
      <w:r>
        <w:fldChar w:fldCharType="begin"/>
      </w:r>
      <w:r>
        <w:instrText xml:space="preserve"> HYPERLINK \l "_Toc157018455" </w:instrText>
      </w:r>
      <w:r>
        <w:fldChar w:fldCharType="separate"/>
      </w:r>
      <w:r>
        <w:rPr>
          <w:rStyle w:val="34"/>
        </w:rPr>
        <w:t>(二)</w:t>
      </w:r>
      <w:r>
        <w:rPr>
          <w:rFonts w:eastAsiaTheme="minorEastAsia"/>
          <w:bCs w:val="0"/>
          <w:sz w:val="21"/>
          <w:szCs w:val="22"/>
        </w:rPr>
        <w:tab/>
      </w:r>
      <w:r>
        <w:rPr>
          <w:rStyle w:val="34"/>
        </w:rPr>
        <w:t>编制依据</w:t>
      </w:r>
      <w:r>
        <w:tab/>
      </w:r>
      <w:r>
        <w:fldChar w:fldCharType="begin"/>
      </w:r>
      <w:r>
        <w:instrText xml:space="preserve"> PAGEREF _Toc157018455 \h </w:instrText>
      </w:r>
      <w:r>
        <w:fldChar w:fldCharType="separate"/>
      </w:r>
      <w:r>
        <w:t>3</w:t>
      </w:r>
      <w:r>
        <w:fldChar w:fldCharType="end"/>
      </w:r>
      <w:r>
        <w:fldChar w:fldCharType="end"/>
      </w:r>
    </w:p>
    <w:p>
      <w:pPr>
        <w:pStyle w:val="28"/>
        <w:tabs>
          <w:tab w:val="left" w:pos="1440"/>
        </w:tabs>
        <w:spacing w:before="0" w:line="600" w:lineRule="exact"/>
        <w:ind w:firstLine="640"/>
      </w:pPr>
      <w:r>
        <w:fldChar w:fldCharType="begin"/>
      </w:r>
      <w:r>
        <w:instrText xml:space="preserve"> HYPERLINK \l "_Toc157018456" </w:instrText>
      </w:r>
      <w:r>
        <w:fldChar w:fldCharType="separate"/>
      </w:r>
      <w:r>
        <w:rPr>
          <w:rStyle w:val="34"/>
        </w:rPr>
        <w:t>(三)</w:t>
      </w:r>
      <w:r>
        <w:rPr>
          <w:rFonts w:eastAsiaTheme="minorEastAsia"/>
          <w:bCs w:val="0"/>
          <w:sz w:val="21"/>
          <w:szCs w:val="22"/>
        </w:rPr>
        <w:tab/>
      </w:r>
      <w:r>
        <w:rPr>
          <w:rStyle w:val="34"/>
        </w:rPr>
        <w:t>编制组织</w:t>
      </w:r>
      <w:r>
        <w:tab/>
      </w:r>
      <w:r>
        <w:fldChar w:fldCharType="begin"/>
      </w:r>
      <w:r>
        <w:instrText xml:space="preserve"> PAGEREF _Toc157018456 \h </w:instrText>
      </w:r>
      <w:r>
        <w:fldChar w:fldCharType="separate"/>
      </w:r>
      <w:r>
        <w:t>4</w:t>
      </w:r>
      <w:r>
        <w:fldChar w:fldCharType="end"/>
      </w:r>
      <w:r>
        <w:fldChar w:fldCharType="end"/>
      </w:r>
    </w:p>
    <w:p>
      <w:pPr>
        <w:pStyle w:val="28"/>
        <w:tabs>
          <w:tab w:val="left" w:pos="1440"/>
        </w:tabs>
        <w:spacing w:before="0" w:line="600" w:lineRule="exact"/>
        <w:ind w:firstLine="640"/>
        <w:rPr>
          <w:rFonts w:eastAsiaTheme="minorEastAsia"/>
          <w:bCs w:val="0"/>
          <w:sz w:val="21"/>
          <w:szCs w:val="22"/>
        </w:rPr>
      </w:pPr>
      <w:r>
        <w:fldChar w:fldCharType="begin"/>
      </w:r>
      <w:r>
        <w:instrText xml:space="preserve"> HYPERLINK \l "_Toc157018457" </w:instrText>
      </w:r>
      <w:r>
        <w:fldChar w:fldCharType="separate"/>
      </w:r>
      <w:r>
        <w:rPr>
          <w:rStyle w:val="34"/>
        </w:rPr>
        <w:t>(四)</w:t>
      </w:r>
      <w:r>
        <w:rPr>
          <w:rFonts w:eastAsiaTheme="minorEastAsia"/>
          <w:bCs w:val="0"/>
          <w:sz w:val="21"/>
          <w:szCs w:val="22"/>
        </w:rPr>
        <w:tab/>
      </w:r>
      <w:r>
        <w:rPr>
          <w:rStyle w:val="34"/>
        </w:rPr>
        <w:t>编制过程</w:t>
      </w:r>
      <w:r>
        <w:tab/>
      </w:r>
      <w:r>
        <w:fldChar w:fldCharType="begin"/>
      </w:r>
      <w:r>
        <w:instrText xml:space="preserve"> PAGEREF _Toc157018457 \h </w:instrText>
      </w:r>
      <w:r>
        <w:fldChar w:fldCharType="separate"/>
      </w:r>
      <w:r>
        <w:t>5</w:t>
      </w:r>
      <w:r>
        <w:fldChar w:fldCharType="end"/>
      </w:r>
      <w:r>
        <w:fldChar w:fldCharType="end"/>
      </w:r>
    </w:p>
    <w:p>
      <w:pPr>
        <w:pStyle w:val="24"/>
        <w:tabs>
          <w:tab w:val="left" w:pos="960"/>
          <w:tab w:val="right" w:leader="dot" w:pos="8296"/>
        </w:tabs>
        <w:spacing w:before="0" w:line="600" w:lineRule="exact"/>
        <w:rPr>
          <w:rFonts w:asciiTheme="minorHAnsi" w:eastAsiaTheme="minorEastAsia"/>
          <w:bCs w:val="0"/>
          <w:caps w:val="0"/>
          <w:sz w:val="21"/>
          <w:szCs w:val="22"/>
        </w:rPr>
      </w:pPr>
      <w:r>
        <w:fldChar w:fldCharType="begin"/>
      </w:r>
      <w:r>
        <w:instrText xml:space="preserve"> HYPERLINK \l "_Toc157018458" </w:instrText>
      </w:r>
      <w:r>
        <w:fldChar w:fldCharType="separate"/>
      </w:r>
      <w:r>
        <w:rPr>
          <w:rStyle w:val="34"/>
        </w:rPr>
        <w:t>二、</w:t>
      </w:r>
      <w:r>
        <w:rPr>
          <w:rFonts w:asciiTheme="minorHAnsi" w:eastAsiaTheme="minorEastAsia"/>
          <w:bCs w:val="0"/>
          <w:caps w:val="0"/>
          <w:sz w:val="21"/>
          <w:szCs w:val="22"/>
        </w:rPr>
        <w:tab/>
      </w:r>
      <w:r>
        <w:rPr>
          <w:rStyle w:val="34"/>
        </w:rPr>
        <w:t>规划编制基础</w:t>
      </w:r>
      <w:r>
        <w:tab/>
      </w:r>
      <w:r>
        <w:fldChar w:fldCharType="begin"/>
      </w:r>
      <w:r>
        <w:instrText xml:space="preserve"> PAGEREF _Toc157018458 \h </w:instrText>
      </w:r>
      <w:r>
        <w:fldChar w:fldCharType="separate"/>
      </w:r>
      <w:r>
        <w:t>9</w:t>
      </w:r>
      <w:r>
        <w:fldChar w:fldCharType="end"/>
      </w:r>
      <w:r>
        <w:fldChar w:fldCharType="end"/>
      </w:r>
    </w:p>
    <w:p>
      <w:pPr>
        <w:pStyle w:val="28"/>
        <w:tabs>
          <w:tab w:val="left" w:pos="1440"/>
        </w:tabs>
        <w:spacing w:before="0" w:line="600" w:lineRule="exact"/>
        <w:ind w:firstLine="640"/>
        <w:rPr>
          <w:rFonts w:eastAsiaTheme="minorEastAsia"/>
          <w:bCs w:val="0"/>
          <w:sz w:val="21"/>
          <w:szCs w:val="22"/>
        </w:rPr>
      </w:pPr>
      <w:r>
        <w:fldChar w:fldCharType="begin"/>
      </w:r>
      <w:r>
        <w:instrText xml:space="preserve"> HYPERLINK \l "_Toc157018459" </w:instrText>
      </w:r>
      <w:r>
        <w:fldChar w:fldCharType="separate"/>
      </w:r>
      <w:r>
        <w:rPr>
          <w:rStyle w:val="34"/>
        </w:rPr>
        <w:t>(一)</w:t>
      </w:r>
      <w:r>
        <w:rPr>
          <w:rFonts w:eastAsiaTheme="minorEastAsia"/>
          <w:bCs w:val="0"/>
          <w:sz w:val="21"/>
          <w:szCs w:val="22"/>
        </w:rPr>
        <w:tab/>
      </w:r>
      <w:r>
        <w:rPr>
          <w:rStyle w:val="34"/>
        </w:rPr>
        <w:t>规划基础数据</w:t>
      </w:r>
      <w:r>
        <w:tab/>
      </w:r>
      <w:r>
        <w:fldChar w:fldCharType="begin"/>
      </w:r>
      <w:r>
        <w:instrText xml:space="preserve"> PAGEREF _Toc157018459 \h </w:instrText>
      </w:r>
      <w:r>
        <w:fldChar w:fldCharType="separate"/>
      </w:r>
      <w:r>
        <w:t>9</w:t>
      </w:r>
      <w:r>
        <w:fldChar w:fldCharType="end"/>
      </w:r>
      <w:r>
        <w:fldChar w:fldCharType="end"/>
      </w:r>
    </w:p>
    <w:p>
      <w:pPr>
        <w:pStyle w:val="28"/>
        <w:tabs>
          <w:tab w:val="left" w:pos="1440"/>
        </w:tabs>
        <w:spacing w:before="0" w:line="600" w:lineRule="exact"/>
        <w:ind w:firstLine="640"/>
        <w:rPr>
          <w:rFonts w:eastAsiaTheme="minorEastAsia"/>
          <w:bCs w:val="0"/>
          <w:sz w:val="21"/>
          <w:szCs w:val="22"/>
        </w:rPr>
      </w:pPr>
      <w:r>
        <w:fldChar w:fldCharType="begin"/>
      </w:r>
      <w:r>
        <w:instrText xml:space="preserve"> HYPERLINK \l "_Toc157018460" </w:instrText>
      </w:r>
      <w:r>
        <w:fldChar w:fldCharType="separate"/>
      </w:r>
      <w:r>
        <w:rPr>
          <w:rStyle w:val="34"/>
        </w:rPr>
        <w:t>(二)</w:t>
      </w:r>
      <w:r>
        <w:rPr>
          <w:rFonts w:eastAsiaTheme="minorEastAsia"/>
          <w:bCs w:val="0"/>
          <w:sz w:val="21"/>
          <w:szCs w:val="22"/>
        </w:rPr>
        <w:tab/>
      </w:r>
      <w:r>
        <w:rPr>
          <w:rStyle w:val="34"/>
        </w:rPr>
        <w:t>资源环境承载能力和国土空间开发适宜性评价</w:t>
      </w:r>
      <w:r>
        <w:tab/>
      </w:r>
      <w:r>
        <w:fldChar w:fldCharType="begin"/>
      </w:r>
      <w:r>
        <w:instrText xml:space="preserve"> PAGEREF _Toc157018460 \h </w:instrText>
      </w:r>
      <w:r>
        <w:fldChar w:fldCharType="separate"/>
      </w:r>
      <w:r>
        <w:t>10</w:t>
      </w:r>
      <w:r>
        <w:fldChar w:fldCharType="end"/>
      </w:r>
      <w:r>
        <w:fldChar w:fldCharType="end"/>
      </w:r>
    </w:p>
    <w:p>
      <w:pPr>
        <w:pStyle w:val="28"/>
        <w:tabs>
          <w:tab w:val="left" w:pos="1440"/>
        </w:tabs>
        <w:spacing w:before="0" w:line="600" w:lineRule="exact"/>
        <w:ind w:firstLine="640"/>
        <w:rPr>
          <w:rFonts w:eastAsiaTheme="minorEastAsia"/>
          <w:bCs w:val="0"/>
          <w:sz w:val="21"/>
          <w:szCs w:val="22"/>
        </w:rPr>
      </w:pPr>
      <w:r>
        <w:fldChar w:fldCharType="begin"/>
      </w:r>
      <w:r>
        <w:instrText xml:space="preserve"> HYPERLINK \l "_Toc157018461" </w:instrText>
      </w:r>
      <w:r>
        <w:fldChar w:fldCharType="separate"/>
      </w:r>
      <w:r>
        <w:rPr>
          <w:rStyle w:val="34"/>
        </w:rPr>
        <w:t>(三)</w:t>
      </w:r>
      <w:r>
        <w:rPr>
          <w:rFonts w:eastAsiaTheme="minorEastAsia"/>
          <w:bCs w:val="0"/>
          <w:sz w:val="21"/>
          <w:szCs w:val="22"/>
        </w:rPr>
        <w:tab/>
      </w:r>
      <w:r>
        <w:rPr>
          <w:rStyle w:val="34"/>
        </w:rPr>
        <w:t>“三区三线”划定</w:t>
      </w:r>
      <w:r>
        <w:tab/>
      </w:r>
      <w:r>
        <w:fldChar w:fldCharType="begin"/>
      </w:r>
      <w:r>
        <w:instrText xml:space="preserve"> PAGEREF _Toc157018461 \h </w:instrText>
      </w:r>
      <w:r>
        <w:fldChar w:fldCharType="separate"/>
      </w:r>
      <w:r>
        <w:t>14</w:t>
      </w:r>
      <w:r>
        <w:fldChar w:fldCharType="end"/>
      </w:r>
      <w:r>
        <w:fldChar w:fldCharType="end"/>
      </w:r>
    </w:p>
    <w:p>
      <w:pPr>
        <w:pStyle w:val="24"/>
        <w:tabs>
          <w:tab w:val="left" w:pos="960"/>
          <w:tab w:val="right" w:leader="dot" w:pos="8296"/>
        </w:tabs>
        <w:spacing w:before="0" w:line="600" w:lineRule="exact"/>
        <w:rPr>
          <w:rFonts w:asciiTheme="minorHAnsi" w:eastAsiaTheme="minorEastAsia"/>
          <w:bCs w:val="0"/>
          <w:caps w:val="0"/>
          <w:sz w:val="21"/>
          <w:szCs w:val="22"/>
        </w:rPr>
      </w:pPr>
      <w:r>
        <w:fldChar w:fldCharType="begin"/>
      </w:r>
      <w:r>
        <w:instrText xml:space="preserve"> HYPERLINK \l "_Toc157018462" </w:instrText>
      </w:r>
      <w:r>
        <w:fldChar w:fldCharType="separate"/>
      </w:r>
      <w:r>
        <w:rPr>
          <w:rStyle w:val="34"/>
        </w:rPr>
        <w:t>三、</w:t>
      </w:r>
      <w:r>
        <w:rPr>
          <w:rFonts w:asciiTheme="minorHAnsi" w:eastAsiaTheme="minorEastAsia"/>
          <w:bCs w:val="0"/>
          <w:caps w:val="0"/>
          <w:sz w:val="21"/>
          <w:szCs w:val="22"/>
        </w:rPr>
        <w:tab/>
      </w:r>
      <w:r>
        <w:rPr>
          <w:rStyle w:val="34"/>
        </w:rPr>
        <w:t>规划成果重点内容说明</w:t>
      </w:r>
      <w:r>
        <w:tab/>
      </w:r>
      <w:r>
        <w:fldChar w:fldCharType="begin"/>
      </w:r>
      <w:r>
        <w:instrText xml:space="preserve"> PAGEREF _Toc157018462 \h </w:instrText>
      </w:r>
      <w:r>
        <w:fldChar w:fldCharType="separate"/>
      </w:r>
      <w:r>
        <w:t>24</w:t>
      </w:r>
      <w:r>
        <w:fldChar w:fldCharType="end"/>
      </w:r>
      <w:r>
        <w:fldChar w:fldCharType="end"/>
      </w:r>
    </w:p>
    <w:p>
      <w:pPr>
        <w:pStyle w:val="28"/>
        <w:tabs>
          <w:tab w:val="left" w:pos="1440"/>
        </w:tabs>
        <w:spacing w:before="0" w:line="600" w:lineRule="exact"/>
        <w:ind w:firstLine="640"/>
        <w:rPr>
          <w:rFonts w:eastAsiaTheme="minorEastAsia"/>
          <w:bCs w:val="0"/>
          <w:sz w:val="21"/>
          <w:szCs w:val="22"/>
        </w:rPr>
      </w:pPr>
      <w:r>
        <w:fldChar w:fldCharType="begin"/>
      </w:r>
      <w:r>
        <w:instrText xml:space="preserve"> HYPERLINK \l "_Toc157018463" </w:instrText>
      </w:r>
      <w:r>
        <w:fldChar w:fldCharType="separate"/>
      </w:r>
      <w:r>
        <w:rPr>
          <w:rStyle w:val="34"/>
        </w:rPr>
        <w:t>(一)</w:t>
      </w:r>
      <w:r>
        <w:rPr>
          <w:rFonts w:eastAsiaTheme="minorEastAsia"/>
          <w:bCs w:val="0"/>
          <w:sz w:val="21"/>
          <w:szCs w:val="22"/>
        </w:rPr>
        <w:tab/>
      </w:r>
      <w:r>
        <w:rPr>
          <w:rStyle w:val="34"/>
        </w:rPr>
        <w:t>国家、自治区及区域重大战略和规划落实情况</w:t>
      </w:r>
      <w:r>
        <w:tab/>
      </w:r>
      <w:r>
        <w:fldChar w:fldCharType="begin"/>
      </w:r>
      <w:r>
        <w:instrText xml:space="preserve"> PAGEREF _Toc157018463 \h </w:instrText>
      </w:r>
      <w:r>
        <w:fldChar w:fldCharType="separate"/>
      </w:r>
      <w:r>
        <w:t>24</w:t>
      </w:r>
      <w:r>
        <w:fldChar w:fldCharType="end"/>
      </w:r>
      <w:r>
        <w:fldChar w:fldCharType="end"/>
      </w:r>
    </w:p>
    <w:p>
      <w:pPr>
        <w:pStyle w:val="28"/>
        <w:tabs>
          <w:tab w:val="left" w:pos="1440"/>
        </w:tabs>
        <w:spacing w:before="0" w:line="600" w:lineRule="exact"/>
        <w:ind w:firstLine="640"/>
        <w:rPr>
          <w:rFonts w:eastAsiaTheme="minorEastAsia"/>
          <w:bCs w:val="0"/>
          <w:sz w:val="21"/>
          <w:szCs w:val="22"/>
        </w:rPr>
      </w:pPr>
      <w:r>
        <w:fldChar w:fldCharType="begin"/>
      </w:r>
      <w:r>
        <w:instrText xml:space="preserve"> HYPERLINK \l "_Toc157018464" </w:instrText>
      </w:r>
      <w:r>
        <w:fldChar w:fldCharType="separate"/>
      </w:r>
      <w:r>
        <w:rPr>
          <w:rStyle w:val="34"/>
        </w:rPr>
        <w:t>(二)</w:t>
      </w:r>
      <w:r>
        <w:rPr>
          <w:rFonts w:eastAsiaTheme="minorEastAsia"/>
          <w:bCs w:val="0"/>
          <w:sz w:val="21"/>
          <w:szCs w:val="22"/>
        </w:rPr>
        <w:tab/>
      </w:r>
      <w:r>
        <w:rPr>
          <w:rStyle w:val="34"/>
        </w:rPr>
        <w:t>规划约束性指标和强制性内容</w:t>
      </w:r>
      <w:r>
        <w:tab/>
      </w:r>
      <w:r>
        <w:fldChar w:fldCharType="begin"/>
      </w:r>
      <w:r>
        <w:instrText xml:space="preserve"> PAGEREF _Toc157018464 \h </w:instrText>
      </w:r>
      <w:r>
        <w:fldChar w:fldCharType="separate"/>
      </w:r>
      <w:r>
        <w:t>32</w:t>
      </w:r>
      <w:r>
        <w:fldChar w:fldCharType="end"/>
      </w:r>
      <w:r>
        <w:fldChar w:fldCharType="end"/>
      </w:r>
    </w:p>
    <w:p>
      <w:pPr>
        <w:pStyle w:val="24"/>
        <w:tabs>
          <w:tab w:val="left" w:pos="960"/>
          <w:tab w:val="right" w:leader="dot" w:pos="8296"/>
        </w:tabs>
        <w:spacing w:before="0" w:line="600" w:lineRule="exact"/>
        <w:rPr>
          <w:rFonts w:asciiTheme="minorHAnsi" w:eastAsiaTheme="minorEastAsia"/>
          <w:bCs w:val="0"/>
          <w:caps w:val="0"/>
          <w:sz w:val="21"/>
          <w:szCs w:val="22"/>
        </w:rPr>
      </w:pPr>
      <w:r>
        <w:fldChar w:fldCharType="begin"/>
      </w:r>
      <w:r>
        <w:instrText xml:space="preserve"> HYPERLINK \l "_Toc157018465" </w:instrText>
      </w:r>
      <w:r>
        <w:fldChar w:fldCharType="separate"/>
      </w:r>
      <w:r>
        <w:rPr>
          <w:rStyle w:val="34"/>
        </w:rPr>
        <w:t>四、</w:t>
      </w:r>
      <w:r>
        <w:rPr>
          <w:rFonts w:asciiTheme="minorHAnsi" w:eastAsiaTheme="minorEastAsia"/>
          <w:bCs w:val="0"/>
          <w:caps w:val="0"/>
          <w:sz w:val="21"/>
          <w:szCs w:val="22"/>
        </w:rPr>
        <w:tab/>
      </w:r>
      <w:r>
        <w:rPr>
          <w:rStyle w:val="34"/>
        </w:rPr>
        <w:t>其他需要说明的事项</w:t>
      </w:r>
      <w:r>
        <w:tab/>
      </w:r>
      <w:r>
        <w:fldChar w:fldCharType="begin"/>
      </w:r>
      <w:r>
        <w:instrText xml:space="preserve"> PAGEREF _Toc157018465 \h </w:instrText>
      </w:r>
      <w:r>
        <w:fldChar w:fldCharType="separate"/>
      </w:r>
      <w:r>
        <w:t>45</w:t>
      </w:r>
      <w:r>
        <w:fldChar w:fldCharType="end"/>
      </w:r>
      <w:r>
        <w:fldChar w:fldCharType="end"/>
      </w:r>
    </w:p>
    <w:p>
      <w:pPr>
        <w:pStyle w:val="28"/>
        <w:tabs>
          <w:tab w:val="left" w:pos="1440"/>
        </w:tabs>
        <w:spacing w:before="0" w:line="600" w:lineRule="exact"/>
        <w:ind w:firstLine="640"/>
        <w:rPr>
          <w:rFonts w:eastAsiaTheme="minorEastAsia"/>
          <w:bCs w:val="0"/>
          <w:sz w:val="21"/>
          <w:szCs w:val="22"/>
        </w:rPr>
      </w:pPr>
      <w:r>
        <w:fldChar w:fldCharType="begin"/>
      </w:r>
      <w:r>
        <w:instrText xml:space="preserve"> HYPERLINK \l "_Toc157018466" </w:instrText>
      </w:r>
      <w:r>
        <w:fldChar w:fldCharType="separate"/>
      </w:r>
      <w:r>
        <w:rPr>
          <w:rStyle w:val="34"/>
        </w:rPr>
        <w:t>(一)</w:t>
      </w:r>
      <w:r>
        <w:rPr>
          <w:rFonts w:eastAsiaTheme="minorEastAsia"/>
          <w:bCs w:val="0"/>
          <w:sz w:val="21"/>
          <w:szCs w:val="22"/>
        </w:rPr>
        <w:tab/>
      </w:r>
      <w:r>
        <w:rPr>
          <w:rStyle w:val="34"/>
        </w:rPr>
        <w:t>规划公示和审核论证意见采纳修改情况</w:t>
      </w:r>
      <w:r>
        <w:tab/>
      </w:r>
      <w:r>
        <w:fldChar w:fldCharType="begin"/>
      </w:r>
      <w:r>
        <w:instrText xml:space="preserve"> PAGEREF _Toc157018466 \h </w:instrText>
      </w:r>
      <w:r>
        <w:fldChar w:fldCharType="separate"/>
      </w:r>
      <w:r>
        <w:t>45</w:t>
      </w:r>
      <w:r>
        <w:fldChar w:fldCharType="end"/>
      </w:r>
      <w:r>
        <w:fldChar w:fldCharType="end"/>
      </w:r>
    </w:p>
    <w:p>
      <w:pPr>
        <w:pStyle w:val="28"/>
        <w:tabs>
          <w:tab w:val="left" w:pos="1440"/>
        </w:tabs>
        <w:spacing w:before="0" w:line="600" w:lineRule="exact"/>
        <w:ind w:firstLine="640"/>
        <w:rPr>
          <w:rFonts w:eastAsiaTheme="minorEastAsia"/>
          <w:bCs w:val="0"/>
          <w:sz w:val="21"/>
          <w:szCs w:val="22"/>
        </w:rPr>
      </w:pPr>
      <w:r>
        <w:fldChar w:fldCharType="begin"/>
      </w:r>
      <w:r>
        <w:instrText xml:space="preserve"> HYPERLINK \l "_Toc157018467" </w:instrText>
      </w:r>
      <w:r>
        <w:fldChar w:fldCharType="separate"/>
      </w:r>
      <w:r>
        <w:rPr>
          <w:rStyle w:val="34"/>
        </w:rPr>
        <w:t>(二)</w:t>
      </w:r>
      <w:r>
        <w:rPr>
          <w:rFonts w:eastAsiaTheme="minorEastAsia"/>
          <w:bCs w:val="0"/>
          <w:sz w:val="21"/>
          <w:szCs w:val="22"/>
        </w:rPr>
        <w:tab/>
      </w:r>
      <w:r>
        <w:rPr>
          <w:rStyle w:val="34"/>
        </w:rPr>
        <w:t>相关专项规划和相邻城市规划衔接情况</w:t>
      </w:r>
      <w:r>
        <w:tab/>
      </w:r>
      <w:r>
        <w:fldChar w:fldCharType="begin"/>
      </w:r>
      <w:r>
        <w:instrText xml:space="preserve"> PAGEREF _Toc157018467 \h </w:instrText>
      </w:r>
      <w:r>
        <w:fldChar w:fldCharType="separate"/>
      </w:r>
      <w:r>
        <w:t>47</w:t>
      </w:r>
      <w:r>
        <w:fldChar w:fldCharType="end"/>
      </w:r>
      <w:r>
        <w:fldChar w:fldCharType="end"/>
      </w:r>
    </w:p>
    <w:p>
      <w:pPr>
        <w:pStyle w:val="28"/>
        <w:tabs>
          <w:tab w:val="left" w:pos="1440"/>
        </w:tabs>
        <w:spacing w:before="0" w:line="600" w:lineRule="exact"/>
        <w:ind w:firstLine="640"/>
        <w:rPr>
          <w:rFonts w:eastAsiaTheme="minorEastAsia"/>
          <w:bCs w:val="0"/>
          <w:sz w:val="21"/>
          <w:szCs w:val="22"/>
        </w:rPr>
      </w:pPr>
      <w:r>
        <w:fldChar w:fldCharType="begin"/>
      </w:r>
      <w:r>
        <w:instrText xml:space="preserve"> HYPERLINK \l "_Toc157018468" </w:instrText>
      </w:r>
      <w:r>
        <w:fldChar w:fldCharType="separate"/>
      </w:r>
      <w:r>
        <w:rPr>
          <w:rStyle w:val="34"/>
        </w:rPr>
        <w:t>(三)</w:t>
      </w:r>
      <w:r>
        <w:rPr>
          <w:rFonts w:eastAsiaTheme="minorEastAsia"/>
          <w:bCs w:val="0"/>
          <w:sz w:val="21"/>
          <w:szCs w:val="22"/>
        </w:rPr>
        <w:tab/>
      </w:r>
      <w:r>
        <w:rPr>
          <w:rStyle w:val="34"/>
        </w:rPr>
        <w:t>承诺事项落实情况</w:t>
      </w:r>
      <w:r>
        <w:tab/>
      </w:r>
      <w:r>
        <w:fldChar w:fldCharType="begin"/>
      </w:r>
      <w:r>
        <w:instrText xml:space="preserve"> PAGEREF _Toc157018468 \h </w:instrText>
      </w:r>
      <w:r>
        <w:fldChar w:fldCharType="separate"/>
      </w:r>
      <w:r>
        <w:t>49</w:t>
      </w:r>
      <w:r>
        <w:fldChar w:fldCharType="end"/>
      </w:r>
      <w:r>
        <w:fldChar w:fldCharType="end"/>
      </w:r>
    </w:p>
    <w:p>
      <w:pPr>
        <w:pStyle w:val="28"/>
        <w:tabs>
          <w:tab w:val="left" w:pos="1440"/>
        </w:tabs>
        <w:spacing w:before="0" w:line="600" w:lineRule="exact"/>
        <w:ind w:firstLine="640"/>
        <w:rPr>
          <w:rFonts w:eastAsiaTheme="minorEastAsia"/>
          <w:bCs w:val="0"/>
          <w:sz w:val="21"/>
          <w:szCs w:val="22"/>
        </w:rPr>
      </w:pPr>
      <w:r>
        <w:fldChar w:fldCharType="begin"/>
      </w:r>
      <w:r>
        <w:instrText xml:space="preserve"> HYPERLINK \l "_Toc157018469" </w:instrText>
      </w:r>
      <w:r>
        <w:fldChar w:fldCharType="separate"/>
      </w:r>
      <w:r>
        <w:rPr>
          <w:rStyle w:val="34"/>
        </w:rPr>
        <w:t>(四)</w:t>
      </w:r>
      <w:r>
        <w:rPr>
          <w:rFonts w:eastAsiaTheme="minorEastAsia"/>
          <w:bCs w:val="0"/>
          <w:sz w:val="21"/>
          <w:szCs w:val="22"/>
        </w:rPr>
        <w:tab/>
      </w:r>
      <w:r>
        <w:rPr>
          <w:rStyle w:val="34"/>
        </w:rPr>
        <w:t>自治区本级国有土地规划和使用管理情况说明</w:t>
      </w:r>
      <w:r>
        <w:tab/>
      </w:r>
      <w:r>
        <w:fldChar w:fldCharType="begin"/>
      </w:r>
      <w:r>
        <w:instrText xml:space="preserve"> PAGEREF _Toc157018469 \h </w:instrText>
      </w:r>
      <w:r>
        <w:fldChar w:fldCharType="separate"/>
      </w:r>
      <w:r>
        <w:t>52</w:t>
      </w:r>
      <w:r>
        <w:fldChar w:fldCharType="end"/>
      </w:r>
      <w:r>
        <w:fldChar w:fldCharType="end"/>
      </w:r>
    </w:p>
    <w:p>
      <w:pPr>
        <w:pStyle w:val="28"/>
        <w:tabs>
          <w:tab w:val="left" w:pos="1440"/>
        </w:tabs>
        <w:spacing w:before="0" w:line="600" w:lineRule="exact"/>
        <w:ind w:firstLine="640"/>
        <w:rPr>
          <w:rFonts w:eastAsiaTheme="minorEastAsia"/>
          <w:bCs w:val="0"/>
          <w:sz w:val="21"/>
          <w:szCs w:val="22"/>
        </w:rPr>
      </w:pPr>
      <w:r>
        <w:fldChar w:fldCharType="begin"/>
      </w:r>
      <w:r>
        <w:instrText xml:space="preserve"> HYPERLINK \l "_Toc157018470" </w:instrText>
      </w:r>
      <w:r>
        <w:fldChar w:fldCharType="separate"/>
      </w:r>
      <w:r>
        <w:rPr>
          <w:rStyle w:val="34"/>
        </w:rPr>
        <w:t>(五)</w:t>
      </w:r>
      <w:r>
        <w:rPr>
          <w:rFonts w:eastAsiaTheme="minorEastAsia"/>
          <w:bCs w:val="0"/>
          <w:sz w:val="21"/>
          <w:szCs w:val="22"/>
        </w:rPr>
        <w:tab/>
      </w:r>
      <w:r>
        <w:rPr>
          <w:rStyle w:val="34"/>
        </w:rPr>
        <w:t>规划图集地图审核情况</w:t>
      </w:r>
      <w:r>
        <w:tab/>
      </w:r>
      <w:r>
        <w:fldChar w:fldCharType="begin"/>
      </w:r>
      <w:r>
        <w:instrText xml:space="preserve"> PAGEREF _Toc157018470 \h </w:instrText>
      </w:r>
      <w:r>
        <w:fldChar w:fldCharType="separate"/>
      </w:r>
      <w:r>
        <w:t>52</w:t>
      </w:r>
      <w:r>
        <w:fldChar w:fldCharType="end"/>
      </w:r>
      <w:r>
        <w:fldChar w:fldCharType="end"/>
      </w:r>
    </w:p>
    <w:p>
      <w:pPr>
        <w:pStyle w:val="2"/>
        <w:numPr>
          <w:ilvl w:val="0"/>
          <w:numId w:val="0"/>
        </w:numPr>
        <w:spacing w:line="240" w:lineRule="auto"/>
        <w:ind w:left="420"/>
        <w:rPr>
          <w:rFonts w:eastAsiaTheme="minorHAnsi"/>
          <w:caps/>
          <w:kern w:val="2"/>
          <w:sz w:val="20"/>
          <w:szCs w:val="20"/>
        </w:rPr>
        <w:sectPr>
          <w:pgSz w:w="11906" w:h="16838"/>
          <w:pgMar w:top="1440" w:right="1800" w:bottom="1440" w:left="1800" w:header="851" w:footer="992" w:gutter="0"/>
          <w:pgNumType w:fmt="upperRoman" w:start="1"/>
          <w:cols w:space="425" w:num="1"/>
          <w:docGrid w:type="lines" w:linePitch="312" w:charSpace="0"/>
        </w:sectPr>
      </w:pPr>
      <w:r>
        <w:rPr>
          <w:rFonts w:asciiTheme="majorHAnsi"/>
          <w:b w:val="0"/>
          <w:caps/>
          <w:kern w:val="2"/>
          <w:szCs w:val="24"/>
        </w:rPr>
        <w:fldChar w:fldCharType="end"/>
      </w:r>
    </w:p>
    <w:p>
      <w:pPr>
        <w:pStyle w:val="2"/>
        <w:ind w:left="0" w:firstLine="720" w:firstLineChars="200"/>
        <w:rPr>
          <w:rFonts w:ascii="方正小标宋_GBK" w:eastAsia="方正小标宋_GBK"/>
          <w:b w:val="0"/>
          <w:bCs w:val="0"/>
          <w:sz w:val="36"/>
          <w:szCs w:val="36"/>
        </w:rPr>
      </w:pPr>
      <w:bookmarkStart w:id="0" w:name="_Toc157018453"/>
      <w:r>
        <w:rPr>
          <w:rFonts w:hint="eastAsia" w:ascii="方正小标宋_GBK" w:eastAsia="方正小标宋_GBK"/>
          <w:b w:val="0"/>
          <w:bCs w:val="0"/>
          <w:sz w:val="36"/>
          <w:szCs w:val="36"/>
        </w:rPr>
        <w:t>规划编制背景和过程</w:t>
      </w:r>
      <w:bookmarkEnd w:id="0"/>
    </w:p>
    <w:p>
      <w:pPr>
        <w:pStyle w:val="3"/>
        <w:ind w:left="0" w:firstLine="643" w:firstLineChars="200"/>
        <w:rPr>
          <w:rFonts w:hAnsi="黑体"/>
        </w:rPr>
      </w:pPr>
      <w:bookmarkStart w:id="1" w:name="_Toc157018454"/>
      <w:r>
        <w:rPr>
          <w:rFonts w:hint="eastAsia" w:hAnsi="黑体"/>
        </w:rPr>
        <w:t>编制背景</w:t>
      </w:r>
      <w:bookmarkEnd w:id="1"/>
    </w:p>
    <w:p>
      <w:pPr>
        <w:pStyle w:val="4"/>
        <w:numPr>
          <w:ilvl w:val="0"/>
          <w:numId w:val="10"/>
        </w:numPr>
        <w:ind w:firstLineChars="0"/>
      </w:pPr>
      <w:bookmarkStart w:id="2" w:name="_Toc69737008"/>
      <w:r>
        <w:rPr>
          <w:rFonts w:hint="eastAsia"/>
        </w:rPr>
        <w:t>国土空间规划体系的建立</w:t>
      </w:r>
      <w:bookmarkEnd w:id="2"/>
    </w:p>
    <w:p>
      <w:pPr>
        <w:ind w:firstLine="640"/>
        <w:rPr>
          <w:rFonts w:ascii="仿宋_GB2312"/>
        </w:rPr>
      </w:pPr>
      <w:r>
        <w:rPr>
          <w:rFonts w:hint="eastAsia" w:ascii="仿宋_GB2312"/>
        </w:rPr>
        <w:t>2019年5月23日，《中共中央国务院关于建立国土空间规划体系并监督实施的若干意见》（以下简称《若干意见》）正式公布，标志着国土空间规划体系顶层设计和“四梁八柱”基本形成。《若干意见》指出，建立国土空间规划体系是坚持人民为中心、实现高质量发展和高品质生活、建设美好家园的重要手段，是保障国家战略有效实施、促进国家治理体系和治理能力现代化、实现</w:t>
      </w:r>
      <w:r>
        <w:rPr>
          <w:rFonts w:hint="eastAsia" w:ascii="仿宋_GB2312" w:hAnsi="仿宋_GB2312" w:cs="仿宋_GB2312"/>
        </w:rPr>
        <w:t>“</w:t>
      </w:r>
      <w:r>
        <w:rPr>
          <w:rFonts w:hint="eastAsia" w:ascii="仿宋_GB2312"/>
        </w:rPr>
        <w:t>两个一百年</w:t>
      </w:r>
      <w:r>
        <w:rPr>
          <w:rFonts w:hint="eastAsia" w:ascii="仿宋_GB2312" w:hAnsi="仿宋_GB2312" w:cs="仿宋_GB2312"/>
        </w:rPr>
        <w:t>”</w:t>
      </w:r>
      <w:r>
        <w:rPr>
          <w:rFonts w:hint="eastAsia" w:ascii="仿宋_GB2312"/>
        </w:rPr>
        <w:t>奋斗目标和中华民族伟大复兴中国梦的必然要求。《若干意见》同时明确了国土空间规划的任务是落实国家安全战略、区域协调发展战略和主体功能区战略，明确空间发展目标，优化城镇化格局、农业生产格局、生态保护格局，确定空间发展策略，转变国土空间开发保护方式，提升国土空间保护质量效率；建立全国统一、责权清晰、科学高效的国土空间规划体系，整体谋划新时代国土空间开发保护格局，按照高质量发展要求，做好国土空间规划顶层设计，发挥国土空间规划在国家规划体系中的基础性作用，为国家发展规划落地实施提供空间保障。</w:t>
      </w:r>
    </w:p>
    <w:p>
      <w:pPr>
        <w:ind w:firstLine="640"/>
        <w:rPr>
          <w:rFonts w:ascii="仿宋_GB2312"/>
        </w:rPr>
      </w:pPr>
      <w:r>
        <w:rPr>
          <w:rFonts w:hint="eastAsia" w:ascii="仿宋_GB2312"/>
        </w:rPr>
        <w:t>在“五级三类”国土空间规划体系中，县级规划具有承上启下的特殊地位，从重要性上来讲，县级国土空间规划位于“五级”规划体系的实施层，主要任务是对上级国土空间规划的要求进行细化和落实；县级空间单元又是“三类”空间规划的集中地，对专项规划具有指导和约束作用，也是详细规划编制的法定依据；县级国土空间规划是上级底线管控和指标管控等措施在国土空间上落实的重要载体，在县级国土空间规划编制过程中更多的是体现定量、定形、定界、定标的管理目标，根据目标差异，提出刚性管控的指标传导模式，明确乡镇国土空间规划的具体实施要求。</w:t>
      </w:r>
    </w:p>
    <w:p>
      <w:pPr>
        <w:pStyle w:val="4"/>
        <w:numPr>
          <w:ilvl w:val="0"/>
          <w:numId w:val="10"/>
        </w:numPr>
        <w:ind w:firstLineChars="0"/>
      </w:pPr>
      <w:bookmarkStart w:id="3" w:name="_Toc69737009"/>
      <w:r>
        <w:rPr>
          <w:rFonts w:hint="eastAsia"/>
        </w:rPr>
        <w:t>广西</w:t>
      </w:r>
      <w:r>
        <w:t>壮族</w:t>
      </w:r>
      <w:r>
        <w:rPr>
          <w:rFonts w:hint="eastAsia"/>
        </w:rPr>
        <w:t>自治区对国土空间规划编制工作的要求</w:t>
      </w:r>
      <w:bookmarkEnd w:id="3"/>
    </w:p>
    <w:p>
      <w:pPr>
        <w:ind w:firstLine="640"/>
        <w:rPr>
          <w:rFonts w:ascii="仿宋_GB2312"/>
        </w:rPr>
      </w:pPr>
      <w:r>
        <w:rPr>
          <w:rFonts w:hint="eastAsia" w:ascii="仿宋_GB2312"/>
        </w:rPr>
        <w:t>《广西建立国土空间规划体系并监督实施的实施方案》中明确要求，2020年年底前，基本建立全区国土空间规划体系，逐步建立“多规合一”的规划编制政策和技术标准，基本完成自治区级、市级、县级国土空间总体规划编制，有序推进专项规划与详细规划编制，初步形成全区国土空间开发保护“一张图”。到2025年，健全自治区国土空间规划有关政策和相关技术标准，全面实施国土空间监测预警和绩效考核机制，形成以国土空间规划为基础，以统一用途管制为手段的国土空间开发保护制度。到2035年，全面提升自治区国土空间治理体系和治理能力现代化水平，基本形成生产空间集约高效、生活空间宜居适度、生态空间山清水秀，安全和谐、富有竞争力和可持续发展的国土空间格局。</w:t>
      </w:r>
    </w:p>
    <w:p>
      <w:pPr>
        <w:pStyle w:val="4"/>
        <w:numPr>
          <w:ilvl w:val="0"/>
          <w:numId w:val="10"/>
        </w:numPr>
        <w:ind w:firstLineChars="0"/>
      </w:pPr>
      <w:bookmarkStart w:id="4" w:name="_Toc69737010"/>
      <w:r>
        <w:rPr>
          <w:rFonts w:hint="eastAsia"/>
        </w:rPr>
        <w:t>荔浦市对国土空间规划编制工作的要求</w:t>
      </w:r>
      <w:bookmarkEnd w:id="4"/>
    </w:p>
    <w:p>
      <w:pPr>
        <w:ind w:firstLine="640"/>
        <w:rPr>
          <w:rFonts w:ascii="仿宋_GB2312"/>
        </w:rPr>
      </w:pPr>
      <w:r>
        <w:rPr>
          <w:rFonts w:hint="eastAsia" w:ascii="仿宋_GB2312"/>
        </w:rPr>
        <w:t>《荔浦市国民经济和社会发展第十四个五年规划和二</w:t>
      </w:r>
      <w:r>
        <w:rPr>
          <w:rFonts w:hint="eastAsia" w:ascii="仿宋_GB2312" w:hAnsi="微软雅黑" w:cs="微软雅黑"/>
        </w:rPr>
        <w:t>〇</w:t>
      </w:r>
      <w:r>
        <w:rPr>
          <w:rFonts w:hint="eastAsia" w:ascii="仿宋_GB2312" w:hAnsi="仿宋_GB2312" w:cs="仿宋_GB2312"/>
        </w:rPr>
        <w:t>三五年远景目标纲要》提出在规划期内构建</w:t>
      </w:r>
      <w:r>
        <w:rPr>
          <w:rFonts w:hint="eastAsia" w:ascii="仿宋_GB2312"/>
          <w:kern w:val="0"/>
          <w:szCs w:val="32"/>
          <w:shd w:val="clear" w:color="auto" w:fill="FFFFFF"/>
          <w:lang w:bidi="ar"/>
        </w:rPr>
        <w:t>底线约束、系统均衡、集约高效、多元有序的国土空间开发保护总体格局</w:t>
      </w:r>
      <w:r>
        <w:rPr>
          <w:rFonts w:hint="eastAsia" w:ascii="仿宋_GB2312"/>
        </w:rPr>
        <w:t>，落实区域重大战略、区域协调战略、主体功能区战略，科学有序布局城镇、农业、生态功能空间，形成人口、经济、资源环境相协调的国土空间开发格局。2019 年6月，荔浦市正式启动国土空间总体规划，建立市级国土空间规划实施监督体系，提高国土空间规划管理能力和水平，促进治理能力和治理水平现代化，实现高质量跨越式发展。</w:t>
      </w:r>
    </w:p>
    <w:p>
      <w:pPr>
        <w:pStyle w:val="3"/>
        <w:ind w:left="0" w:firstLine="643" w:firstLineChars="200"/>
      </w:pPr>
      <w:bookmarkStart w:id="5" w:name="_Toc157018455"/>
      <w:r>
        <w:rPr>
          <w:rFonts w:hint="eastAsia"/>
        </w:rPr>
        <w:t>编制依据</w:t>
      </w:r>
      <w:bookmarkEnd w:id="5"/>
    </w:p>
    <w:p>
      <w:pPr>
        <w:pStyle w:val="11"/>
        <w:numPr>
          <w:ilvl w:val="0"/>
          <w:numId w:val="11"/>
        </w:numPr>
        <w:ind w:left="420" w:firstLineChars="0"/>
        <w:rPr>
          <w:rFonts w:ascii="仿宋_GB2312" w:hAnsi="Times New Roman" w:cs="Times New Roman"/>
          <w:bCs/>
          <w:szCs w:val="30"/>
        </w:rPr>
      </w:pPr>
      <w:r>
        <w:rPr>
          <w:rFonts w:hint="eastAsia" w:ascii="仿宋_GB2312" w:hAnsi="Times New Roman" w:cs="Times New Roman"/>
          <w:bCs/>
          <w:szCs w:val="30"/>
        </w:rPr>
        <w:t>《中华人民共和国土地管理法》(2019年修正）；</w:t>
      </w:r>
    </w:p>
    <w:p>
      <w:pPr>
        <w:pStyle w:val="11"/>
        <w:numPr>
          <w:ilvl w:val="0"/>
          <w:numId w:val="11"/>
        </w:numPr>
        <w:ind w:left="420" w:firstLineChars="0"/>
        <w:rPr>
          <w:rFonts w:ascii="仿宋_GB2312" w:hAnsi="Times New Roman" w:cs="Times New Roman"/>
          <w:bCs/>
          <w:szCs w:val="30"/>
        </w:rPr>
      </w:pPr>
      <w:r>
        <w:rPr>
          <w:rFonts w:hint="eastAsia" w:ascii="仿宋_GB2312" w:hAnsi="Times New Roman" w:cs="Times New Roman"/>
          <w:bCs/>
          <w:szCs w:val="30"/>
        </w:rPr>
        <w:t>《中华人民共和国城乡规划法》(2019年修正）；</w:t>
      </w:r>
    </w:p>
    <w:p>
      <w:pPr>
        <w:pStyle w:val="11"/>
        <w:numPr>
          <w:ilvl w:val="0"/>
          <w:numId w:val="11"/>
        </w:numPr>
        <w:ind w:left="420" w:firstLineChars="0"/>
        <w:rPr>
          <w:rFonts w:ascii="仿宋_GB2312" w:hAnsi="Times New Roman" w:cs="Times New Roman"/>
          <w:bCs/>
          <w:szCs w:val="30"/>
        </w:rPr>
      </w:pPr>
      <w:r>
        <w:rPr>
          <w:rFonts w:hint="eastAsia" w:ascii="仿宋_GB2312" w:hAnsi="Times New Roman" w:cs="Times New Roman"/>
          <w:bCs/>
          <w:szCs w:val="30"/>
        </w:rPr>
        <w:t>《中共中央国务院关于建立国土空间规划体系并监督实施的若干意见》；</w:t>
      </w:r>
    </w:p>
    <w:p>
      <w:pPr>
        <w:pStyle w:val="11"/>
        <w:numPr>
          <w:ilvl w:val="0"/>
          <w:numId w:val="11"/>
        </w:numPr>
        <w:ind w:left="420" w:firstLineChars="0"/>
        <w:rPr>
          <w:rFonts w:hint="eastAsia" w:ascii="仿宋_GB2312" w:hAnsi="Times New Roman" w:cs="Times New Roman"/>
          <w:bCs/>
          <w:sz w:val="32"/>
          <w:szCs w:val="32"/>
        </w:rPr>
      </w:pPr>
      <w:r>
        <w:rPr>
          <w:rFonts w:hint="eastAsia" w:ascii="仿宋_GB2312" w:hAnsi="Times New Roman" w:cs="Times New Roman"/>
          <w:bCs/>
          <w:sz w:val="32"/>
          <w:szCs w:val="32"/>
        </w:rPr>
        <w:t>《中共中央办公厅国务院办公厅印发</w:t>
      </w:r>
      <w:r>
        <w:rPr>
          <w:rFonts w:hint="eastAsia" w:ascii="仿宋_GB2312" w:hAnsi="仿宋_GB2312" w:eastAsia="仿宋_GB2312" w:cs="仿宋_GB2312"/>
          <w:b w:val="0"/>
          <w:bCs w:val="0"/>
          <w:i w:val="0"/>
          <w:caps w:val="0"/>
          <w:color w:val="auto"/>
          <w:spacing w:val="0"/>
          <w:sz w:val="32"/>
          <w:szCs w:val="32"/>
          <w:shd w:val="clear" w:fill="FCFCFC"/>
        </w:rPr>
        <w:t>〈</w:t>
      </w:r>
      <w:r>
        <w:rPr>
          <w:rFonts w:hint="eastAsia" w:ascii="仿宋_GB2312" w:hAnsi="Times New Roman" w:cs="Times New Roman"/>
          <w:bCs/>
          <w:sz w:val="32"/>
          <w:szCs w:val="32"/>
        </w:rPr>
        <w:t>关于在国土空间规划中统筹划定落实三条控制线的指导意见〉的通知》；</w:t>
      </w:r>
    </w:p>
    <w:p>
      <w:pPr>
        <w:pStyle w:val="11"/>
        <w:numPr>
          <w:ilvl w:val="0"/>
          <w:numId w:val="11"/>
        </w:numPr>
        <w:ind w:left="420" w:firstLineChars="0"/>
        <w:rPr>
          <w:rFonts w:ascii="仿宋_GB2312" w:hAnsi="Times New Roman" w:cs="Times New Roman"/>
          <w:bCs/>
          <w:szCs w:val="30"/>
        </w:rPr>
      </w:pPr>
      <w:r>
        <w:rPr>
          <w:rFonts w:hint="eastAsia" w:ascii="仿宋_GB2312" w:hAnsi="Times New Roman" w:cs="Times New Roman"/>
          <w:bCs/>
          <w:szCs w:val="30"/>
        </w:rPr>
        <w:t>《广西建立国土空间规划体系并监督实施的实施方案》；</w:t>
      </w:r>
    </w:p>
    <w:p>
      <w:pPr>
        <w:pStyle w:val="11"/>
        <w:numPr>
          <w:ilvl w:val="0"/>
          <w:numId w:val="11"/>
        </w:numPr>
        <w:ind w:left="420" w:firstLineChars="0"/>
        <w:rPr>
          <w:rFonts w:ascii="仿宋_GB2312" w:hAnsi="Times New Roman" w:cs="Times New Roman"/>
          <w:bCs/>
          <w:szCs w:val="30"/>
        </w:rPr>
      </w:pPr>
      <w:r>
        <w:rPr>
          <w:rFonts w:hint="eastAsia" w:ascii="仿宋_GB2312" w:hAnsi="Times New Roman" w:cs="Times New Roman"/>
          <w:bCs/>
          <w:szCs w:val="30"/>
        </w:rPr>
        <w:t>《全国国土空间规划纲要（2021-2035年）》；</w:t>
      </w:r>
    </w:p>
    <w:p>
      <w:pPr>
        <w:pStyle w:val="11"/>
        <w:numPr>
          <w:ilvl w:val="0"/>
          <w:numId w:val="11"/>
        </w:numPr>
        <w:ind w:left="420" w:firstLineChars="0"/>
        <w:rPr>
          <w:rFonts w:ascii="仿宋_GB2312" w:hAnsi="Times New Roman" w:cs="Times New Roman"/>
          <w:bCs/>
          <w:szCs w:val="30"/>
        </w:rPr>
      </w:pPr>
      <w:r>
        <w:rPr>
          <w:rFonts w:hint="eastAsia" w:ascii="仿宋_GB2312" w:hAnsi="Times New Roman" w:cs="Times New Roman"/>
          <w:bCs/>
          <w:szCs w:val="30"/>
        </w:rPr>
        <w:t>《广西壮族自治区国土空间规划（2021-2035年）》；</w:t>
      </w:r>
    </w:p>
    <w:p>
      <w:pPr>
        <w:pStyle w:val="11"/>
        <w:numPr>
          <w:ilvl w:val="0"/>
          <w:numId w:val="11"/>
        </w:numPr>
        <w:ind w:left="420" w:firstLineChars="0"/>
        <w:rPr>
          <w:rFonts w:ascii="仿宋_GB2312" w:hAnsi="Times New Roman" w:cs="Times New Roman"/>
          <w:bCs/>
          <w:szCs w:val="30"/>
        </w:rPr>
      </w:pPr>
      <w:r>
        <w:rPr>
          <w:rFonts w:hint="eastAsia" w:ascii="仿宋_GB2312" w:hAnsi="Times New Roman" w:cs="Times New Roman"/>
          <w:bCs/>
          <w:szCs w:val="30"/>
        </w:rPr>
        <w:t>《桂林市国土空间总体规划（2021-2035年）》；</w:t>
      </w:r>
    </w:p>
    <w:p>
      <w:pPr>
        <w:pStyle w:val="11"/>
        <w:numPr>
          <w:ilvl w:val="0"/>
          <w:numId w:val="11"/>
        </w:numPr>
        <w:ind w:left="420" w:firstLineChars="0"/>
        <w:rPr>
          <w:rFonts w:ascii="仿宋_GB2312" w:hAnsi="Times New Roman" w:cs="Times New Roman"/>
          <w:bCs/>
          <w:szCs w:val="30"/>
        </w:rPr>
      </w:pPr>
      <w:r>
        <w:rPr>
          <w:rFonts w:hint="eastAsia" w:ascii="仿宋_GB2312" w:hAnsi="Times New Roman" w:cs="Times New Roman"/>
          <w:bCs/>
          <w:szCs w:val="30"/>
        </w:rPr>
        <w:t>《自然资源部关于全面开展国土空间规划工作的通知》；</w:t>
      </w:r>
    </w:p>
    <w:p>
      <w:pPr>
        <w:pStyle w:val="11"/>
        <w:numPr>
          <w:ilvl w:val="0"/>
          <w:numId w:val="11"/>
        </w:numPr>
        <w:ind w:left="420" w:firstLineChars="0"/>
        <w:rPr>
          <w:rFonts w:ascii="仿宋_GB2312" w:hAnsi="Times New Roman" w:cs="Times New Roman"/>
          <w:bCs/>
          <w:szCs w:val="30"/>
        </w:rPr>
      </w:pPr>
      <w:r>
        <w:rPr>
          <w:rFonts w:hint="eastAsia" w:ascii="仿宋_GB2312" w:hAnsi="Times New Roman" w:cs="Times New Roman"/>
          <w:bCs/>
          <w:szCs w:val="30"/>
        </w:rPr>
        <w:t>《市级国土空间总体规划编制指南（试行）》；</w:t>
      </w:r>
    </w:p>
    <w:p>
      <w:pPr>
        <w:pStyle w:val="11"/>
        <w:numPr>
          <w:ilvl w:val="0"/>
          <w:numId w:val="11"/>
        </w:numPr>
        <w:ind w:left="420" w:firstLineChars="0"/>
        <w:rPr>
          <w:rFonts w:ascii="仿宋_GB2312" w:hAnsi="Times New Roman" w:cs="Times New Roman"/>
          <w:bCs/>
          <w:szCs w:val="30"/>
        </w:rPr>
      </w:pPr>
      <w:r>
        <w:rPr>
          <w:rFonts w:hint="eastAsia" w:ascii="仿宋_GB2312" w:hAnsi="Times New Roman" w:cs="Times New Roman"/>
          <w:bCs/>
          <w:szCs w:val="30"/>
        </w:rPr>
        <w:t>国家、自治区、桂林市以及荔浦市相关法律法规、规范标准和政策文件等。</w:t>
      </w:r>
    </w:p>
    <w:p>
      <w:pPr>
        <w:pStyle w:val="3"/>
        <w:ind w:left="0" w:firstLine="643" w:firstLineChars="200"/>
      </w:pPr>
      <w:bookmarkStart w:id="6" w:name="_Toc157018456"/>
      <w:r>
        <w:rPr>
          <w:rFonts w:hint="eastAsia"/>
        </w:rPr>
        <w:t>编制组织</w:t>
      </w:r>
      <w:bookmarkEnd w:id="6"/>
    </w:p>
    <w:p>
      <w:pPr>
        <w:pStyle w:val="4"/>
        <w:numPr>
          <w:ilvl w:val="0"/>
          <w:numId w:val="12"/>
        </w:numPr>
        <w:ind w:firstLineChars="0"/>
        <w:rPr>
          <w:rFonts w:ascii="楷体_GB2312"/>
        </w:rPr>
      </w:pPr>
      <w:r>
        <w:rPr>
          <w:rFonts w:hint="eastAsia" w:ascii="楷体_GB2312"/>
        </w:rPr>
        <w:t>成立规划编制工作领导小组，召开启动大会</w:t>
      </w:r>
    </w:p>
    <w:p>
      <w:pPr>
        <w:ind w:firstLine="640"/>
        <w:rPr>
          <w:rFonts w:ascii="仿宋_GB2312" w:hAnsi="Times New Roman" w:cs="Times New Roman"/>
          <w:bCs/>
          <w:szCs w:val="30"/>
        </w:rPr>
      </w:pPr>
      <w:r>
        <w:rPr>
          <w:rFonts w:hint="eastAsia" w:ascii="仿宋_GB2312" w:hAnsi="Times New Roman" w:cs="Times New Roman"/>
          <w:bCs/>
          <w:szCs w:val="30"/>
        </w:rPr>
        <w:t>《荔浦市国土空间总体规划（2021—2035年）》（以下简称《规划》）编制工作于2019年05月启动。在荔浦市委、市政府领导下，成立了</w:t>
      </w:r>
      <w:bookmarkStart w:id="7" w:name="_Hlk141699061"/>
      <w:r>
        <w:rPr>
          <w:rFonts w:hint="eastAsia" w:ascii="仿宋_GB2312" w:hAnsi="Times New Roman" w:cs="Times New Roman"/>
          <w:bCs/>
          <w:szCs w:val="30"/>
        </w:rPr>
        <w:t>规划编制工作领导小组和领导小组办公室</w:t>
      </w:r>
      <w:bookmarkEnd w:id="7"/>
      <w:r>
        <w:rPr>
          <w:rFonts w:hint="eastAsia" w:ascii="仿宋_GB2312" w:hAnsi="Times New Roman" w:cs="Times New Roman"/>
          <w:bCs/>
          <w:szCs w:val="30"/>
        </w:rPr>
        <w:t>，制定了工作方案，明确了规划编制的总体要求、工作任务、进度安排、成果要求和保障措施，为规划编制提供了坚强组织保障。</w:t>
      </w:r>
    </w:p>
    <w:p>
      <w:pPr>
        <w:pStyle w:val="4"/>
        <w:numPr>
          <w:ilvl w:val="0"/>
          <w:numId w:val="12"/>
        </w:numPr>
        <w:ind w:firstLineChars="0"/>
      </w:pPr>
      <w:r>
        <w:rPr>
          <w:rFonts w:hint="eastAsia"/>
        </w:rPr>
        <w:t>组织技术服务联合团队</w:t>
      </w:r>
    </w:p>
    <w:p>
      <w:pPr>
        <w:ind w:firstLine="640"/>
        <w:rPr>
          <w:rFonts w:ascii="仿宋_GB2312" w:hAnsi="Times New Roman" w:cs="Times New Roman"/>
          <w:bCs/>
          <w:szCs w:val="30"/>
        </w:rPr>
      </w:pPr>
      <w:r>
        <w:rPr>
          <w:rFonts w:hint="eastAsia" w:ascii="仿宋_GB2312" w:hAnsi="Times New Roman" w:cs="Times New Roman"/>
          <w:bCs/>
          <w:szCs w:val="30"/>
        </w:rPr>
        <w:t>2019年5月，完成了对规划编制单位的筛选，履行了政府采购程序，经公开招标，选定了中国城市建设研究院有限公司和广西国土资源规划设计集团有限公司组成联合体，承担荔浦市国土空间总体规划编制技术服务工作。同时专门召开《规划》编制工作推进会进行部署，明确了工作的目标和要求，建立了部门协调机制，规划编制工作正式展开。</w:t>
      </w:r>
    </w:p>
    <w:p>
      <w:pPr>
        <w:pStyle w:val="3"/>
        <w:ind w:left="0" w:firstLine="643" w:firstLineChars="200"/>
      </w:pPr>
      <w:bookmarkStart w:id="8" w:name="_Toc157018457"/>
      <w:r>
        <w:rPr>
          <w:rFonts w:hint="eastAsia"/>
        </w:rPr>
        <w:t>编制过程</w:t>
      </w:r>
      <w:bookmarkEnd w:id="8"/>
    </w:p>
    <w:p>
      <w:pPr>
        <w:pStyle w:val="4"/>
        <w:numPr>
          <w:ilvl w:val="0"/>
          <w:numId w:val="13"/>
        </w:numPr>
        <w:ind w:firstLineChars="0"/>
      </w:pPr>
      <w:r>
        <w:rPr>
          <w:rFonts w:hint="eastAsia"/>
        </w:rPr>
        <w:t>实地调研</w:t>
      </w:r>
    </w:p>
    <w:p>
      <w:pPr>
        <w:ind w:firstLine="640"/>
        <w:rPr>
          <w:rFonts w:ascii="仿宋_GB2312" w:hAnsi="Times New Roman" w:cs="Times New Roman"/>
          <w:bCs/>
          <w:szCs w:val="30"/>
        </w:rPr>
      </w:pPr>
      <w:bookmarkStart w:id="9" w:name="_Hlk141803790"/>
      <w:r>
        <w:rPr>
          <w:rFonts w:hint="eastAsia" w:ascii="仿宋_GB2312" w:hAnsi="Times New Roman" w:cs="Times New Roman"/>
          <w:bCs/>
          <w:szCs w:val="30"/>
        </w:rPr>
        <w:t>2019年6月-2020年1月，为充分摸清荔浦市资源禀赋、发展现状，了解各行业发展动态，掌握各乡镇发展诉求，荔浦市自然资源局组织开展了多轮实地调研工作，技术单位与市领导、各部门、主要企业进行了广泛的座谈，搜集了大量的基础资料。通过多种方式，线上线下共收集有效问卷2815份。为确定专题研究方向，拟定城市性质及发展目标，明确区域协同策略奠定了扎实的基础。</w:t>
      </w:r>
      <w:bookmarkEnd w:id="9"/>
    </w:p>
    <w:p>
      <w:pPr>
        <w:pStyle w:val="4"/>
        <w:numPr>
          <w:ilvl w:val="0"/>
          <w:numId w:val="13"/>
        </w:numPr>
        <w:ind w:firstLineChars="0"/>
      </w:pPr>
      <w:r>
        <w:rPr>
          <w:rFonts w:hint="eastAsia"/>
        </w:rPr>
        <w:t>资料收集</w:t>
      </w:r>
    </w:p>
    <w:p>
      <w:pPr>
        <w:ind w:firstLine="640"/>
        <w:rPr>
          <w:rFonts w:ascii="仿宋_GB2312" w:hAnsi="Times New Roman" w:cs="Times New Roman"/>
          <w:bCs/>
          <w:szCs w:val="30"/>
        </w:rPr>
      </w:pPr>
      <w:r>
        <w:rPr>
          <w:rFonts w:hint="eastAsia" w:ascii="仿宋_GB2312" w:hAnsi="Times New Roman" w:cs="Times New Roman"/>
          <w:bCs/>
          <w:szCs w:val="30"/>
        </w:rPr>
        <w:t>规划编制过程中，荔浦市实时收集更新市委</w:t>
      </w:r>
      <w:r>
        <w:rPr>
          <w:rFonts w:hint="eastAsia" w:ascii="仿宋_GB2312" w:hAnsi="Times New Roman" w:cs="Times New Roman"/>
          <w:bCs/>
          <w:szCs w:val="30"/>
          <w:lang w:eastAsia="zh-CN"/>
        </w:rPr>
        <w:t>、</w:t>
      </w:r>
      <w:r>
        <w:rPr>
          <w:rFonts w:hint="eastAsia" w:ascii="仿宋_GB2312" w:hAnsi="Times New Roman" w:cs="Times New Roman"/>
          <w:bCs/>
          <w:szCs w:val="30"/>
        </w:rPr>
        <w:t>市政府、市自然资源局、市发展改革局、市住房城乡建设局、市交通运输局、市水利局、市农业农村局、市教育局、市文化广电体育旅游局等30个行业部门、13个乡镇的相关资料，并形成清单。对资料紧迫程度、时效性、可信度、存在问题等收集情况进行实时更新，清单中各部门、乡镇均备注有单位联络人员信息，以便对急需资料进行补充收集。</w:t>
      </w:r>
    </w:p>
    <w:p>
      <w:pPr>
        <w:pStyle w:val="4"/>
        <w:numPr>
          <w:ilvl w:val="0"/>
          <w:numId w:val="13"/>
        </w:numPr>
        <w:ind w:firstLineChars="0"/>
      </w:pPr>
      <w:r>
        <w:rPr>
          <w:rFonts w:hint="eastAsia"/>
        </w:rPr>
        <w:t>专题研究</w:t>
      </w:r>
    </w:p>
    <w:p>
      <w:pPr>
        <w:ind w:firstLine="640"/>
        <w:rPr>
          <w:rFonts w:ascii="仿宋_GB2312"/>
        </w:rPr>
      </w:pPr>
      <w:r>
        <w:rPr>
          <w:rFonts w:hint="eastAsia" w:ascii="仿宋_GB2312" w:hAnsi="Times New Roman" w:cs="Times New Roman"/>
          <w:bCs/>
          <w:szCs w:val="30"/>
        </w:rPr>
        <w:t>规划编制前，荔浦市共编制了《荔浦市城市风貌特色研究》《荔浦市城乡公共服务设施研究》《荔浦市城镇开发边界划定研究》《荔浦市耕地保护和基本农田优化调整研究》《荔浦市全域综合整治与生态修复研究》《荔浦市生态保护红线评估调整研究》《荔浦市县域村庄布局研究》《荔浦市现行空间规划实施评估》《荔浦市2019年国土空间现状评估》共9个前期研究专题，并于 2021年11月通过荔浦市国土空间规划编制工作领导小组审查。</w:t>
      </w:r>
    </w:p>
    <w:p>
      <w:pPr>
        <w:pStyle w:val="4"/>
        <w:numPr>
          <w:ilvl w:val="0"/>
          <w:numId w:val="13"/>
        </w:numPr>
        <w:ind w:firstLineChars="0"/>
      </w:pPr>
      <w:r>
        <w:rPr>
          <w:rFonts w:hint="eastAsia"/>
        </w:rPr>
        <w:t>编制重要节点</w:t>
      </w:r>
    </w:p>
    <w:p>
      <w:pPr>
        <w:ind w:firstLine="640"/>
        <w:rPr>
          <w:rFonts w:ascii="仿宋_GB2312" w:hAnsi="Times New Roman" w:cs="Times New Roman"/>
          <w:bCs/>
          <w:szCs w:val="30"/>
        </w:rPr>
      </w:pPr>
      <w:r>
        <w:rPr>
          <w:rFonts w:hint="eastAsia" w:ascii="仿宋_GB2312" w:hAnsi="Times New Roman" w:cs="Times New Roman"/>
          <w:bCs/>
          <w:szCs w:val="30"/>
        </w:rPr>
        <w:t>2020年1月-8月，技术单位形成了《规划》初步方案和9个专题研究报告的初稿，并向市委、市政府和各委办局主要领导进行了汇报，明确了荔浦市总体发展战略、国土空间保护开发格局、城区空间优化策略、产业空间布局、城区环境风貌格局、国土空间用途管控分区等重要内容。</w:t>
      </w:r>
    </w:p>
    <w:p>
      <w:pPr>
        <w:ind w:firstLine="640"/>
        <w:rPr>
          <w:rFonts w:ascii="仿宋_GB2312" w:hAnsi="Times New Roman" w:cs="Times New Roman"/>
          <w:bCs/>
          <w:szCs w:val="30"/>
        </w:rPr>
      </w:pPr>
      <w:r>
        <w:rPr>
          <w:rFonts w:hint="eastAsia" w:ascii="仿宋_GB2312" w:hAnsi="Times New Roman" w:cs="Times New Roman"/>
          <w:bCs/>
          <w:szCs w:val="30"/>
        </w:rPr>
        <w:t>2021年1月至8月，技术单位多次与自治区国土空间规划和桂林市国土空间规划（上级规划）进行充分地衔接并细化相关内容。</w:t>
      </w:r>
    </w:p>
    <w:p>
      <w:pPr>
        <w:ind w:firstLine="640"/>
        <w:rPr>
          <w:rFonts w:ascii="仿宋_GB2312" w:hAnsi="Times New Roman" w:cs="Times New Roman"/>
          <w:bCs/>
          <w:szCs w:val="30"/>
        </w:rPr>
      </w:pPr>
      <w:r>
        <w:rPr>
          <w:rFonts w:hint="eastAsia" w:ascii="仿宋_GB2312" w:hAnsi="Times New Roman" w:cs="Times New Roman"/>
          <w:bCs/>
          <w:szCs w:val="30"/>
        </w:rPr>
        <w:t xml:space="preserve"> 2021年9月，技术单位将修改完善的《规划》初稿向市委、市政府主要领导以及各部门和各乡镇进行了汇报，征求了相关意见建议。同时紧密跟踪荔浦市“十四五”发展规划编制工作，与各部门进行了多次专项对接，形成了国土空间规划与“十四五”规划同步协调、互相支撑的编制机制。</w:t>
      </w:r>
    </w:p>
    <w:p>
      <w:pPr>
        <w:ind w:firstLine="640"/>
        <w:rPr>
          <w:rFonts w:ascii="仿宋_GB2312" w:hAnsi="Times New Roman" w:cs="Times New Roman"/>
          <w:bCs/>
          <w:szCs w:val="30"/>
        </w:rPr>
      </w:pPr>
      <w:r>
        <w:rPr>
          <w:rFonts w:hint="eastAsia" w:ascii="仿宋_GB2312" w:hAnsi="Times New Roman" w:cs="Times New Roman"/>
          <w:bCs/>
          <w:szCs w:val="30"/>
        </w:rPr>
        <w:t xml:space="preserve"> 2021年11月，按照自治区自然资源厅要求，荔浦市自然资源局组织召开了《规划》技术评审会。评审专家组听取了成果汇报，审阅了相关资料，经质询和讨论，原则同意《规划》通过评审。</w:t>
      </w:r>
    </w:p>
    <w:p>
      <w:pPr>
        <w:ind w:firstLine="640"/>
        <w:rPr>
          <w:rFonts w:ascii="仿宋_GB2312" w:hAnsi="Times New Roman" w:cs="Times New Roman"/>
          <w:bCs/>
          <w:szCs w:val="30"/>
        </w:rPr>
      </w:pPr>
      <w:r>
        <w:rPr>
          <w:rFonts w:hint="eastAsia" w:ascii="仿宋_GB2312" w:hAnsi="Times New Roman" w:cs="Times New Roman"/>
          <w:bCs/>
          <w:szCs w:val="30"/>
        </w:rPr>
        <w:t>2022年开始，按照自然资源部和广西自然资源厅“三区三线”划定统一部署，科学划定了永久基本农田保护红线、生态保护红线和城镇开发边界，对国土空间总体格局进行优化。</w:t>
      </w:r>
    </w:p>
    <w:p>
      <w:pPr>
        <w:ind w:firstLine="640"/>
        <w:rPr>
          <w:rFonts w:ascii="仿宋_GB2312" w:hAnsi="Times New Roman" w:cs="Times New Roman"/>
          <w:bCs/>
          <w:szCs w:val="30"/>
        </w:rPr>
      </w:pPr>
      <w:r>
        <w:rPr>
          <w:rFonts w:hint="eastAsia" w:ascii="仿宋_GB2312" w:hAnsi="Times New Roman" w:cs="Times New Roman"/>
          <w:bCs/>
          <w:szCs w:val="30"/>
        </w:rPr>
        <w:t>2022年10月，完成了“三区三线”划定成果，并获得国家批复启用。</w:t>
      </w:r>
    </w:p>
    <w:p>
      <w:pPr>
        <w:ind w:firstLine="640"/>
        <w:rPr>
          <w:rFonts w:ascii="仿宋_GB2312" w:hAnsi="Times New Roman" w:cs="Times New Roman"/>
          <w:bCs/>
          <w:szCs w:val="30"/>
        </w:rPr>
      </w:pPr>
      <w:r>
        <w:rPr>
          <w:rFonts w:hint="eastAsia" w:ascii="仿宋_GB2312" w:hAnsi="Times New Roman" w:cs="Times New Roman"/>
          <w:bCs/>
          <w:szCs w:val="30"/>
        </w:rPr>
        <w:t>2023年起，在“三区三线”划定成果基础上，进一步落实国家和自治区、桂林市发展战略，优化区域和城乡功能布局、用地结构和要素配置，形成了有效支撑高质量发展和新发展格局的规划成果，包括规划文本、图集、说明书、数据库。</w:t>
      </w:r>
    </w:p>
    <w:p>
      <w:pPr>
        <w:ind w:firstLine="640"/>
        <w:rPr>
          <w:rFonts w:ascii="仿宋_GB2312" w:hAnsi="Times New Roman" w:cs="Times New Roman"/>
          <w:bCs/>
          <w:szCs w:val="30"/>
        </w:rPr>
      </w:pPr>
      <w:r>
        <w:rPr>
          <w:rFonts w:hint="eastAsia" w:ascii="仿宋_GB2312" w:hAnsi="Times New Roman" w:cs="Times New Roman"/>
          <w:bCs/>
          <w:szCs w:val="30"/>
        </w:rPr>
        <w:t>2023年3月—4月底，向各部门和各乡镇征求相关意见建议。并于2023年3月15日，召开部门和乡镇联席审查会，经质询和讨论，原则同意《规划》。</w:t>
      </w:r>
    </w:p>
    <w:p>
      <w:pPr>
        <w:ind w:firstLine="640"/>
        <w:rPr>
          <w:rFonts w:ascii="仿宋_GB2312" w:hAnsi="Times New Roman" w:cs="Times New Roman"/>
          <w:bCs/>
          <w:szCs w:val="30"/>
        </w:rPr>
      </w:pPr>
      <w:r>
        <w:rPr>
          <w:rFonts w:hint="eastAsia" w:ascii="仿宋_GB2312" w:hAnsi="Times New Roman" w:cs="Times New Roman"/>
          <w:bCs/>
          <w:szCs w:val="30"/>
        </w:rPr>
        <w:t>2023年3月20日—2023年4月19日，在荔浦市人民政府门户网站进行了《规划》草案公示，共31天。</w:t>
      </w:r>
    </w:p>
    <w:p>
      <w:pPr>
        <w:ind w:firstLine="640"/>
        <w:rPr>
          <w:rFonts w:ascii="仿宋_GB2312" w:hAnsi="Times New Roman" w:cs="Times New Roman"/>
          <w:bCs/>
          <w:szCs w:val="30"/>
        </w:rPr>
      </w:pPr>
      <w:r>
        <w:rPr>
          <w:rFonts w:hint="eastAsia" w:ascii="仿宋_GB2312" w:hAnsi="Times New Roman" w:cs="Times New Roman"/>
          <w:bCs/>
          <w:szCs w:val="30"/>
        </w:rPr>
        <w:t>2023年4月18日，市政府召开市政府常务会</w:t>
      </w:r>
      <w:r>
        <w:rPr>
          <w:rFonts w:hint="eastAsia" w:ascii="仿宋_GB2312" w:hAnsi="Times New Roman" w:cs="Times New Roman"/>
          <w:bCs/>
          <w:szCs w:val="30"/>
          <w:lang w:eastAsia="zh-CN"/>
        </w:rPr>
        <w:t>议</w:t>
      </w:r>
      <w:r>
        <w:rPr>
          <w:rFonts w:hint="eastAsia" w:ascii="仿宋_GB2312" w:hAnsi="Times New Roman" w:cs="Times New Roman"/>
          <w:bCs/>
          <w:szCs w:val="30"/>
        </w:rPr>
        <w:t>，审议通过了《规划》。</w:t>
      </w:r>
    </w:p>
    <w:p>
      <w:pPr>
        <w:ind w:firstLine="640"/>
        <w:rPr>
          <w:rFonts w:ascii="仿宋_GB2312" w:hAnsi="Times New Roman" w:cs="Times New Roman"/>
          <w:bCs/>
          <w:szCs w:val="30"/>
        </w:rPr>
      </w:pPr>
      <w:r>
        <w:rPr>
          <w:rFonts w:hint="eastAsia" w:ascii="仿宋_GB2312" w:hAnsi="Times New Roman" w:cs="Times New Roman"/>
          <w:bCs/>
          <w:szCs w:val="30"/>
        </w:rPr>
        <w:t>2023年4月25日，市自然资源局组织召开了第二次专家技术评审会。评审专家组听取了成果汇报，经质询和讨论，同意《规划》通过评审。</w:t>
      </w:r>
    </w:p>
    <w:p>
      <w:pPr>
        <w:ind w:firstLine="640"/>
        <w:rPr>
          <w:rFonts w:ascii="仿宋_GB2312" w:hAnsi="Times New Roman" w:cs="Times New Roman"/>
          <w:bCs/>
          <w:szCs w:val="30"/>
        </w:rPr>
      </w:pPr>
      <w:r>
        <w:rPr>
          <w:rFonts w:hint="eastAsia" w:ascii="仿宋_GB2312" w:hAnsi="Times New Roman" w:cs="Times New Roman"/>
          <w:bCs/>
          <w:szCs w:val="30"/>
        </w:rPr>
        <w:t>2023年5月19日，市委、市政府召开市委、市政府常务（扩大）会议，审议通过了《规划》。</w:t>
      </w:r>
    </w:p>
    <w:p>
      <w:pPr>
        <w:ind w:firstLine="640"/>
        <w:rPr>
          <w:rFonts w:ascii="仿宋_GB2312" w:hAnsi="Times New Roman" w:cs="Times New Roman"/>
          <w:bCs/>
          <w:szCs w:val="30"/>
        </w:rPr>
      </w:pPr>
      <w:r>
        <w:rPr>
          <w:rFonts w:hint="eastAsia" w:ascii="仿宋_GB2312" w:hAnsi="Times New Roman" w:cs="Times New Roman"/>
          <w:bCs/>
          <w:szCs w:val="30"/>
        </w:rPr>
        <w:t>2023年5月29日，荔浦市第二届人民代表大会常务委员会第十五次会议审议并通过了《规划》。</w:t>
      </w:r>
    </w:p>
    <w:p>
      <w:pPr>
        <w:ind w:firstLine="640"/>
        <w:rPr>
          <w:rFonts w:ascii="仿宋_GB2312" w:hAnsi="Times New Roman" w:cs="Times New Roman"/>
          <w:bCs/>
          <w:szCs w:val="30"/>
        </w:rPr>
      </w:pPr>
    </w:p>
    <w:p>
      <w:pPr>
        <w:ind w:firstLine="640"/>
        <w:rPr>
          <w:rFonts w:ascii="仿宋_GB2312" w:hAnsi="Times New Roman" w:cs="Times New Roman"/>
          <w:bCs/>
          <w:szCs w:val="30"/>
        </w:rPr>
        <w:sectPr>
          <w:footerReference r:id="rId9" w:type="default"/>
          <w:pgSz w:w="11906" w:h="16838"/>
          <w:pgMar w:top="1440" w:right="1800" w:bottom="1440" w:left="1800" w:header="851" w:footer="992" w:gutter="0"/>
          <w:pgNumType w:start="1"/>
          <w:cols w:space="425" w:num="1"/>
          <w:docGrid w:type="lines" w:linePitch="326" w:charSpace="0"/>
        </w:sectPr>
      </w:pPr>
    </w:p>
    <w:p>
      <w:pPr>
        <w:pStyle w:val="2"/>
        <w:ind w:left="0" w:firstLine="720" w:firstLineChars="200"/>
        <w:rPr>
          <w:rFonts w:ascii="方正小标宋_GBK" w:eastAsia="方正小标宋_GBK"/>
          <w:b w:val="0"/>
          <w:bCs w:val="0"/>
          <w:sz w:val="36"/>
          <w:szCs w:val="36"/>
        </w:rPr>
      </w:pPr>
      <w:bookmarkStart w:id="10" w:name="_Toc157018458"/>
      <w:r>
        <w:rPr>
          <w:rFonts w:hint="eastAsia" w:ascii="方正小标宋_GBK" w:eastAsia="方正小标宋_GBK"/>
          <w:b w:val="0"/>
          <w:bCs w:val="0"/>
          <w:sz w:val="36"/>
          <w:szCs w:val="36"/>
        </w:rPr>
        <w:t>规划编制基础</w:t>
      </w:r>
      <w:bookmarkEnd w:id="10"/>
    </w:p>
    <w:p>
      <w:pPr>
        <w:pStyle w:val="3"/>
        <w:numPr>
          <w:ilvl w:val="0"/>
          <w:numId w:val="14"/>
        </w:numPr>
        <w:ind w:left="0" w:firstLine="643" w:firstLineChars="200"/>
      </w:pPr>
      <w:bookmarkStart w:id="11" w:name="_Toc157018459"/>
      <w:r>
        <w:rPr>
          <w:rFonts w:hint="eastAsia"/>
        </w:rPr>
        <w:t>规划基础数据</w:t>
      </w:r>
      <w:bookmarkEnd w:id="11"/>
    </w:p>
    <w:p>
      <w:pPr>
        <w:pStyle w:val="4"/>
        <w:numPr>
          <w:ilvl w:val="0"/>
          <w:numId w:val="15"/>
        </w:numPr>
        <w:ind w:firstLineChars="0"/>
      </w:pPr>
      <w:r>
        <w:rPr>
          <w:rFonts w:hint="eastAsia"/>
        </w:rPr>
        <w:t>国土空间现状数据</w:t>
      </w:r>
    </w:p>
    <w:p>
      <w:pPr>
        <w:ind w:firstLine="640"/>
        <w:rPr>
          <w:rFonts w:ascii="仿宋_GB2312"/>
        </w:rPr>
      </w:pPr>
      <w:r>
        <w:rPr>
          <w:rFonts w:hint="eastAsia" w:ascii="仿宋_GB2312"/>
        </w:rPr>
        <w:t>以第三次全国国土调查数据（以下简称“三调数据”）及第三次全国国土调查2020年度变更数据（以下简称“2020 年度变更数据”）为基础，根据《国土空间调查、规划、用途管制用地用海分类指南（试行）》及《自然资源部办公厅关于规范和统一市县国土空间规划现状基数的通知》（自然资办函〔2021〕907号）进行转换细化得到国土空间现状数据。</w:t>
      </w:r>
    </w:p>
    <w:p>
      <w:pPr>
        <w:pStyle w:val="4"/>
        <w:numPr>
          <w:ilvl w:val="0"/>
          <w:numId w:val="15"/>
        </w:numPr>
        <w:ind w:firstLineChars="0"/>
      </w:pPr>
      <w:r>
        <w:rPr>
          <w:rFonts w:hint="eastAsia"/>
        </w:rPr>
        <w:t>影像数据</w:t>
      </w:r>
      <w:r>
        <w:t xml:space="preserve"> </w:t>
      </w:r>
    </w:p>
    <w:p>
      <w:pPr>
        <w:ind w:firstLine="640"/>
        <w:rPr>
          <w:rFonts w:ascii="仿宋_GB2312"/>
        </w:rPr>
      </w:pPr>
      <w:r>
        <w:rPr>
          <w:rFonts w:hint="eastAsia" w:ascii="仿宋_GB2312"/>
        </w:rPr>
        <w:t xml:space="preserve">荔浦市2020年度国土变更调查高分辨率影像数据。 </w:t>
      </w:r>
    </w:p>
    <w:p>
      <w:pPr>
        <w:pStyle w:val="4"/>
        <w:numPr>
          <w:ilvl w:val="0"/>
          <w:numId w:val="15"/>
        </w:numPr>
        <w:ind w:firstLineChars="0"/>
      </w:pPr>
      <w:r>
        <w:rPr>
          <w:rFonts w:hint="eastAsia"/>
        </w:rPr>
        <w:t>经济人口数据</w:t>
      </w:r>
      <w:r>
        <w:t xml:space="preserve"> </w:t>
      </w:r>
    </w:p>
    <w:p>
      <w:pPr>
        <w:ind w:firstLine="640"/>
        <w:rPr>
          <w:rFonts w:ascii="仿宋_GB2312"/>
        </w:rPr>
      </w:pPr>
      <w:r>
        <w:rPr>
          <w:rFonts w:hint="eastAsia" w:ascii="仿宋_GB2312"/>
        </w:rPr>
        <w:t>经济人口数据来源于历年的荔浦市统计年鉴、荔浦市国民经济和社会发展统计公报、荔浦市第七次全国人口普查主要数据公报、桂林市历年经济社会统计年鉴。</w:t>
      </w:r>
    </w:p>
    <w:p>
      <w:pPr>
        <w:pStyle w:val="4"/>
        <w:numPr>
          <w:ilvl w:val="0"/>
          <w:numId w:val="15"/>
        </w:numPr>
        <w:ind w:firstLineChars="0"/>
      </w:pPr>
      <w:r>
        <w:rPr>
          <w:rFonts w:hint="eastAsia"/>
        </w:rPr>
        <w:t>其他数据</w:t>
      </w:r>
    </w:p>
    <w:p>
      <w:pPr>
        <w:ind w:firstLine="640"/>
        <w:rPr>
          <w:rFonts w:ascii="仿宋_GB2312"/>
        </w:rPr>
      </w:pPr>
      <w:r>
        <w:rPr>
          <w:rFonts w:hint="eastAsia" w:ascii="仿宋_GB2312"/>
        </w:rPr>
        <w:t>“三区三线”划定成果、耕地林地后备资源、地质灾害、矿产资源、农用地分等定级、自然保护地、退耕还林还草、造林绿化、土壤、粮食生产功能区和重要农产品保护区、历史文化、水资源、河道治理、交通路网、降水、积温、大气环境等数据来源于荔浦市相关行业部门。</w:t>
      </w:r>
    </w:p>
    <w:p>
      <w:pPr>
        <w:pStyle w:val="3"/>
        <w:numPr>
          <w:ilvl w:val="0"/>
          <w:numId w:val="14"/>
        </w:numPr>
        <w:ind w:left="0" w:firstLine="643" w:firstLineChars="200"/>
      </w:pPr>
      <w:bookmarkStart w:id="12" w:name="_Toc157018460"/>
      <w:r>
        <w:rPr>
          <w:rFonts w:hint="eastAsia"/>
        </w:rPr>
        <w:t>资源环境承载能力和国土空间开发适宜性评价</w:t>
      </w:r>
      <w:bookmarkEnd w:id="12"/>
    </w:p>
    <w:p>
      <w:pPr>
        <w:ind w:firstLine="640"/>
        <w:rPr>
          <w:rFonts w:ascii="仿宋_GB2312" w:hAnsi="仿宋"/>
        </w:rPr>
      </w:pPr>
      <w:r>
        <w:rPr>
          <w:rFonts w:hint="eastAsia" w:ascii="仿宋_GB2312" w:hAnsi="仿宋"/>
        </w:rPr>
        <w:t>按照自然资源部和自治区自然资源厅工作部署，在自治区统一下发资源环境承载能力和国土空间开发适宜性评价(以下简称“双评价”）成果的基础上，荔浦市基于“三调”数据、第七次全国人口普查数据和各专题专项研究的初步成果，根据荔浦市资源禀赋条件以及国土空间开发的制约因素或短板，因地制宜对“双评价”成果进行校核、修正和细化，形成评价结果。</w:t>
      </w:r>
    </w:p>
    <w:p>
      <w:pPr>
        <w:pStyle w:val="4"/>
        <w:numPr>
          <w:ilvl w:val="0"/>
          <w:numId w:val="16"/>
        </w:numPr>
        <w:ind w:firstLineChars="0"/>
      </w:pPr>
      <w:bookmarkStart w:id="13" w:name="_Toc74936340"/>
      <w:r>
        <w:t>农业生产适宜性评价</w:t>
      </w:r>
      <w:bookmarkEnd w:id="13"/>
      <w:r>
        <w:rPr>
          <w:rFonts w:hint="eastAsia"/>
        </w:rPr>
        <w:t>结果</w:t>
      </w:r>
    </w:p>
    <w:p>
      <w:pPr>
        <w:ind w:firstLine="640"/>
        <w:rPr>
          <w:rFonts w:ascii="仿宋_GB2312"/>
          <w:color w:val="FF0000"/>
        </w:rPr>
      </w:pPr>
      <w:r>
        <w:rPr>
          <w:rFonts w:hint="eastAsia" w:ascii="仿宋_GB2312"/>
        </w:rPr>
        <w:t>校核细化自治区下发的农业生产适宜性评价结果，从土地资源条件、水资源条件、气候条件、农业基础条件等 4个方面选取评价指标。划定荔浦市农业生产适宜性高的面积为292.03平方千米，占全市国土面积的16.59%，主要分布于市域中部地势较为平坦的区域。</w:t>
      </w:r>
    </w:p>
    <w:p>
      <w:pPr>
        <w:pStyle w:val="57"/>
        <w:spacing w:before="163" w:after="163"/>
      </w:pPr>
      <w:r>
        <w:rPr>
          <w:rFonts w:hint="eastAsia"/>
        </w:rPr>
        <w:t>荔浦市农业适宜性等级面积表</w:t>
      </w:r>
    </w:p>
    <w:tbl>
      <w:tblPr>
        <w:tblStyle w:val="37"/>
        <w:tblpPr w:leftFromText="180" w:rightFromText="180" w:vertAnchor="text" w:tblpXSpec="center" w:tblpY="1"/>
        <w:tblOverlap w:val="never"/>
        <w:tblW w:w="8296" w:type="dxa"/>
        <w:tblInd w:w="0" w:type="dxa"/>
        <w:tblLayout w:type="fixed"/>
        <w:tblCellMar>
          <w:top w:w="15" w:type="dxa"/>
          <w:left w:w="15" w:type="dxa"/>
          <w:bottom w:w="15" w:type="dxa"/>
          <w:right w:w="15" w:type="dxa"/>
        </w:tblCellMar>
      </w:tblPr>
      <w:tblGrid>
        <w:gridCol w:w="1755"/>
        <w:gridCol w:w="2466"/>
        <w:gridCol w:w="1830"/>
        <w:gridCol w:w="2245"/>
      </w:tblGrid>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适宜性等级</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面积（平方千米）</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比例</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备注</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292.03</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16.59%</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高</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2</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208.96</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11.87%</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较高</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3</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110.38</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6.27%</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一般</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4</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2.86</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0.16%</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较低</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5</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1145.61</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65.10%</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低</w:t>
            </w:r>
          </w:p>
        </w:tc>
      </w:tr>
    </w:tbl>
    <w:p>
      <w:pPr>
        <w:pStyle w:val="4"/>
        <w:numPr>
          <w:ilvl w:val="0"/>
          <w:numId w:val="16"/>
        </w:numPr>
        <w:ind w:firstLineChars="0"/>
      </w:pPr>
      <w:r>
        <w:rPr>
          <w:rFonts w:hint="eastAsia"/>
        </w:rPr>
        <w:t>生态保护重要性评价结果</w:t>
      </w:r>
    </w:p>
    <w:p>
      <w:pPr>
        <w:ind w:firstLine="640"/>
        <w:rPr>
          <w:rFonts w:ascii="仿宋_GB2312"/>
        </w:rPr>
      </w:pPr>
      <w:r>
        <w:rPr>
          <w:rFonts w:hint="eastAsia" w:ascii="仿宋_GB2312"/>
        </w:rPr>
        <w:t>校核细化自治区下发的生态保护重要性评价结果，取生态系统服务功能重要性和生态敏感性评价结果的较高等级，作为生态保护重要性等级的初判结果，基于生态廊道对初判结果进行修正，并依据自然地理、地形地貌或生态系统完整性确定边界。划定荔浦市生态保护重要性高的面积为882.23平方千米，占全市国土总面积的50.13%，主要分布在架桥岭自然保护区、荔江国家湿地公园以及西南面的天井岭、东南面的猪头山区域。</w:t>
      </w:r>
    </w:p>
    <w:p>
      <w:pPr>
        <w:pStyle w:val="57"/>
        <w:spacing w:before="163" w:after="163"/>
      </w:pPr>
      <w:bookmarkStart w:id="14" w:name="_Toc74936341"/>
      <w:r>
        <w:rPr>
          <w:rFonts w:hint="eastAsia"/>
        </w:rPr>
        <w:t>荔浦市生态保护重要性等级面积表</w:t>
      </w:r>
    </w:p>
    <w:tbl>
      <w:tblPr>
        <w:tblStyle w:val="37"/>
        <w:tblpPr w:leftFromText="180" w:rightFromText="180" w:vertAnchor="text" w:tblpXSpec="center" w:tblpY="1"/>
        <w:tblOverlap w:val="never"/>
        <w:tblW w:w="8296" w:type="dxa"/>
        <w:tblInd w:w="0" w:type="dxa"/>
        <w:tblLayout w:type="fixed"/>
        <w:tblCellMar>
          <w:top w:w="15" w:type="dxa"/>
          <w:left w:w="15" w:type="dxa"/>
          <w:bottom w:w="15" w:type="dxa"/>
          <w:right w:w="15" w:type="dxa"/>
        </w:tblCellMar>
      </w:tblPr>
      <w:tblGrid>
        <w:gridCol w:w="1755"/>
        <w:gridCol w:w="2466"/>
        <w:gridCol w:w="1830"/>
        <w:gridCol w:w="2245"/>
      </w:tblGrid>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重要性等级</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面积（平方千米）</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比例</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备注</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882.23</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50.13%</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高</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2</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254.27</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14.45%</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较高</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3</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325.18</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18.48%</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一般</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4</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283.59</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16.11%</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较低</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5</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14.56</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0.83%</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低</w:t>
            </w:r>
          </w:p>
        </w:tc>
      </w:tr>
    </w:tbl>
    <w:p>
      <w:pPr>
        <w:pStyle w:val="4"/>
        <w:numPr>
          <w:ilvl w:val="0"/>
          <w:numId w:val="16"/>
        </w:numPr>
        <w:ind w:firstLineChars="0"/>
      </w:pPr>
      <w:r>
        <w:t>城镇建设适宜性评价</w:t>
      </w:r>
      <w:bookmarkEnd w:id="14"/>
    </w:p>
    <w:p>
      <w:pPr>
        <w:ind w:firstLine="640"/>
        <w:rPr>
          <w:rFonts w:ascii="仿宋_GB2312"/>
          <w:color w:val="FF0000"/>
        </w:rPr>
      </w:pPr>
      <w:r>
        <w:rPr>
          <w:rFonts w:hint="eastAsia" w:ascii="仿宋_GB2312"/>
        </w:rPr>
        <w:t>校核细化自治区下发的城镇建设适宜性评价结果，选取土地资源条件、水资源条件、灾害危险性和区位优势度等4项指标，划定荔浦市城镇建设适宜性高的面积为342.42平方千米</w:t>
      </w:r>
      <w:r>
        <w:rPr>
          <w:rFonts w:hint="eastAsia" w:ascii="仿宋_GB2312" w:cs="仿宋"/>
        </w:rPr>
        <w:t>，占全市国土总面积的</w:t>
      </w:r>
      <w:r>
        <w:rPr>
          <w:rFonts w:hint="eastAsia" w:ascii="仿宋_GB2312"/>
        </w:rPr>
        <w:t>19.46%，主要集中在</w:t>
      </w:r>
      <w:r>
        <w:rPr>
          <w:rFonts w:hint="eastAsia" w:ascii="仿宋_GB2312"/>
          <w:snapToGrid w:val="0"/>
          <w:lang w:val="zh-CN"/>
        </w:rPr>
        <w:t>市域中部地势较为平坦的区域</w:t>
      </w:r>
      <w:r>
        <w:rPr>
          <w:rFonts w:hint="eastAsia" w:ascii="仿宋_GB2312"/>
        </w:rPr>
        <w:t>。</w:t>
      </w:r>
    </w:p>
    <w:p>
      <w:pPr>
        <w:pStyle w:val="57"/>
        <w:spacing w:before="163" w:after="163"/>
      </w:pPr>
      <w:r>
        <w:rPr>
          <w:rFonts w:hint="eastAsia"/>
        </w:rPr>
        <w:t>荔浦市城镇建设适宜性等级面积表</w:t>
      </w:r>
    </w:p>
    <w:tbl>
      <w:tblPr>
        <w:tblStyle w:val="37"/>
        <w:tblpPr w:leftFromText="180" w:rightFromText="180" w:vertAnchor="text" w:tblpXSpec="center" w:tblpY="1"/>
        <w:tblOverlap w:val="never"/>
        <w:tblW w:w="8296" w:type="dxa"/>
        <w:tblInd w:w="0" w:type="dxa"/>
        <w:tblLayout w:type="fixed"/>
        <w:tblCellMar>
          <w:top w:w="15" w:type="dxa"/>
          <w:left w:w="15" w:type="dxa"/>
          <w:bottom w:w="15" w:type="dxa"/>
          <w:right w:w="15" w:type="dxa"/>
        </w:tblCellMar>
      </w:tblPr>
      <w:tblGrid>
        <w:gridCol w:w="1755"/>
        <w:gridCol w:w="2466"/>
        <w:gridCol w:w="1830"/>
        <w:gridCol w:w="2245"/>
      </w:tblGrid>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适宜性等级</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面积（平方千米）</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比例</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备注</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342.42</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19.46%</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高</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2</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174.14</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9.90%</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较高</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3</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135.59</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7.70%</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一般</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4</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73.85</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4.20%</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较低</w:t>
            </w:r>
          </w:p>
        </w:tc>
      </w:tr>
      <w:tr>
        <w:tblPrEx>
          <w:tblLayout w:type="fixed"/>
          <w:tblCellMar>
            <w:top w:w="15" w:type="dxa"/>
            <w:left w:w="15" w:type="dxa"/>
            <w:bottom w:w="15" w:type="dxa"/>
            <w:right w:w="15" w:type="dxa"/>
          </w:tblCellMar>
        </w:tblPrEx>
        <w:trPr>
          <w:trHeight w:val="70" w:hRule="atLeast"/>
        </w:trPr>
        <w:tc>
          <w:tcPr>
            <w:tcW w:w="175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5</w:t>
            </w:r>
          </w:p>
        </w:tc>
        <w:tc>
          <w:tcPr>
            <w:tcW w:w="2466"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1033.83.</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58.75%</w:t>
            </w:r>
          </w:p>
        </w:tc>
        <w:tc>
          <w:tcPr>
            <w:tcW w:w="2245"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rPr>
            </w:pPr>
            <w:r>
              <w:rPr>
                <w:rFonts w:hint="eastAsia" w:ascii="仿宋_GB2312"/>
              </w:rPr>
              <w:t>低</w:t>
            </w:r>
          </w:p>
        </w:tc>
      </w:tr>
    </w:tbl>
    <w:p>
      <w:pPr>
        <w:pStyle w:val="4"/>
        <w:numPr>
          <w:ilvl w:val="0"/>
          <w:numId w:val="16"/>
        </w:numPr>
        <w:ind w:firstLineChars="0"/>
      </w:pPr>
      <w:r>
        <w:rPr>
          <w:rFonts w:hint="eastAsia"/>
        </w:rPr>
        <w:t>资源环境承载规模测算</w:t>
      </w:r>
    </w:p>
    <w:p>
      <w:pPr>
        <w:ind w:firstLine="640"/>
        <w:rPr>
          <w:rFonts w:ascii="仿宋_GB2312"/>
        </w:rPr>
      </w:pPr>
      <w:r>
        <w:rPr>
          <w:rFonts w:hint="eastAsia" w:ascii="仿宋_GB2312"/>
        </w:rPr>
        <w:t>经测算，到2035年，从土地资源和水资源约束角度，按照短板原理，采用土地资源约束和水资源约束两项评价结果的最小值作为国土资源可承载的最大规模。取水资源约束下，荔浦市农业生产可承载最大规模为210.33 平方千米；城镇建设可承载最大规模为 44.51 平方千米。</w:t>
      </w:r>
    </w:p>
    <w:p>
      <w:pPr>
        <w:pStyle w:val="4"/>
        <w:numPr>
          <w:ilvl w:val="0"/>
          <w:numId w:val="16"/>
        </w:numPr>
        <w:ind w:firstLineChars="0"/>
      </w:pPr>
      <w:r>
        <w:t>评价结果运用</w:t>
      </w:r>
    </w:p>
    <w:p>
      <w:pPr>
        <w:ind w:firstLine="640"/>
        <w:rPr>
          <w:rFonts w:ascii="仿宋_GB2312"/>
        </w:rPr>
      </w:pPr>
      <w:r>
        <w:rPr>
          <w:rFonts w:hint="eastAsia" w:ascii="楷体" w:hAnsi="楷体" w:eastAsia="楷体"/>
        </w:rPr>
        <w:t>支撑完善主体功能分区。</w:t>
      </w:r>
      <w:r>
        <w:rPr>
          <w:rFonts w:hint="eastAsia" w:ascii="仿宋_GB2312"/>
        </w:rPr>
        <w:t>对于农业生产、生态保护、城镇建设单一功能特征明显的区域，可分别将其作为农产品主产区、重点生态功能区、城市化地区的备选区域。对于两种或多种功能特征明显的区域，按照安全优先、生态优先、节约优先、保护优先的原则，结合区域发展，决定战略定位，以及其在区域农业、生态、城镇格局中的重要程度，经综合分析权衡后，确定其主体功能定位。</w:t>
      </w:r>
    </w:p>
    <w:p>
      <w:pPr>
        <w:ind w:firstLine="640"/>
        <w:rPr>
          <w:rFonts w:ascii="仿宋_GB2312"/>
        </w:rPr>
      </w:pPr>
      <w:r>
        <w:rPr>
          <w:rFonts w:hint="eastAsia" w:ascii="楷体" w:hAnsi="楷体" w:eastAsia="楷体"/>
        </w:rPr>
        <w:t>支撑划定三条控制线。</w:t>
      </w:r>
      <w:r>
        <w:rPr>
          <w:rFonts w:hint="eastAsia" w:ascii="仿宋_GB2312"/>
        </w:rPr>
        <w:t>农业生产适宜区是划定耕地和永久基本农田的空间基础，优先选取位于农业生产适宜区内的宜耕农用地、优质旱地及水浇地作为耕地恢复、耕地质量提升的潜力图斑，退耕还林等可优先选择在农业生产不适宜区内开展。生态保护重要区，作为划定生态保护红线和生态控制区的空间基础。城镇开发边界划定应避让城镇建设不适宜区和生态保护重要区，无法避让的需进行专门论证并采取相应措施。</w:t>
      </w:r>
    </w:p>
    <w:p>
      <w:pPr>
        <w:ind w:firstLine="640"/>
      </w:pPr>
      <w:r>
        <w:rPr>
          <w:rFonts w:hint="eastAsia" w:ascii="楷体" w:hAnsi="楷体" w:eastAsia="楷体"/>
        </w:rPr>
        <w:t>支撑规划指标确定和分解。</w:t>
      </w:r>
      <w:r>
        <w:rPr>
          <w:rFonts w:hint="eastAsia" w:ascii="仿宋_GB2312"/>
        </w:rPr>
        <w:t>对耕地保有量、城镇开发边界规模等指标的确定和分解，应与农业生产、城镇建设现状及未来潜力相匹配，不能突破区域农业生产、城镇建设的最大规模。</w:t>
      </w:r>
    </w:p>
    <w:p>
      <w:pPr>
        <w:ind w:firstLine="640"/>
        <w:rPr>
          <w:rFonts w:ascii="仿宋_GB2312"/>
        </w:rPr>
      </w:pPr>
      <w:r>
        <w:rPr>
          <w:rFonts w:hint="eastAsia" w:ascii="楷体" w:hAnsi="楷体" w:eastAsia="楷体"/>
        </w:rPr>
        <w:t>支撑坚持绿色发展的国土空间发展策略。</w:t>
      </w:r>
      <w:r>
        <w:rPr>
          <w:rFonts w:hint="eastAsia" w:ascii="仿宋_GB2312"/>
        </w:rPr>
        <w:t>从突出荔浦市的生态优势出发，结合“双评价”成果，构建生态安全格局，明确空间发展的生态基底，引导划定全域规划分区，引导城市生态主导发展区域逐步实现生态价值转换；对国土空间生态修复和国土综合整治重大工程的确定与时序安排，应优先在生态极脆弱、灾害危险性高、环境污染严重等区域内开展。</w:t>
      </w:r>
    </w:p>
    <w:p>
      <w:pPr>
        <w:ind w:firstLine="640"/>
      </w:pPr>
      <w:r>
        <w:rPr>
          <w:rFonts w:hint="eastAsia" w:ascii="楷体" w:hAnsi="楷体" w:eastAsia="楷体"/>
        </w:rPr>
        <w:t>支撑国土空间专题规划编制。</w:t>
      </w:r>
      <w:r>
        <w:rPr>
          <w:rFonts w:hint="eastAsia" w:ascii="仿宋_GB2312"/>
        </w:rPr>
        <w:t>将“双评价”成果作为基础数据，在耕地保护和永久基本农田优化调整研究、生态保护红线评估调整研究、城镇开发边界划定研究、全域综合整治与生态修复研究专题编制中得到充分运用。</w:t>
      </w:r>
    </w:p>
    <w:p>
      <w:pPr>
        <w:pStyle w:val="3"/>
        <w:ind w:left="0" w:firstLine="643" w:firstLineChars="200"/>
      </w:pPr>
      <w:r>
        <w:rPr>
          <w:rFonts w:hint="eastAsia"/>
        </w:rPr>
        <w:t xml:space="preserve"> </w:t>
      </w:r>
      <w:bookmarkStart w:id="15" w:name="_Toc157018461"/>
      <w:r>
        <w:rPr>
          <w:rFonts w:hint="eastAsia"/>
        </w:rPr>
        <w:t>“三区三线”划定</w:t>
      </w:r>
      <w:bookmarkEnd w:id="15"/>
    </w:p>
    <w:p>
      <w:pPr>
        <w:ind w:firstLine="640"/>
        <w:rPr>
          <w:rFonts w:ascii="仿宋_GB2312"/>
        </w:rPr>
      </w:pPr>
      <w:r>
        <w:rPr>
          <w:rFonts w:hint="eastAsia" w:ascii="仿宋_GB2312"/>
        </w:rPr>
        <w:t>坚持底线思维，以国土空间规划为依据，将“三区三线”作为调整经济结构、规划产业发展、推进城镇化不可逾越的红线。实施最严格的耕地保护制度、生态环境保护制度和节约用地制度，严格落实上级分解下达的耕地、永久基本农田等国土空间规划约束指标。</w:t>
      </w:r>
    </w:p>
    <w:p>
      <w:pPr>
        <w:pStyle w:val="4"/>
        <w:numPr>
          <w:ilvl w:val="0"/>
          <w:numId w:val="17"/>
        </w:numPr>
        <w:ind w:firstLineChars="0"/>
      </w:pPr>
      <w:r>
        <w:rPr>
          <w:rFonts w:hint="eastAsia"/>
        </w:rPr>
        <w:t>耕地及永久基本农田划定</w:t>
      </w:r>
    </w:p>
    <w:p>
      <w:pPr>
        <w:pStyle w:val="5"/>
        <w:numPr>
          <w:ilvl w:val="0"/>
          <w:numId w:val="18"/>
        </w:numPr>
        <w:spacing w:before="0" w:after="0"/>
        <w:ind w:firstLine="640"/>
        <w:rPr>
          <w:rFonts w:eastAsia="楷体_GB2312"/>
        </w:rPr>
      </w:pPr>
      <w:r>
        <w:rPr>
          <w:rFonts w:hint="eastAsia" w:eastAsia="楷体_GB2312"/>
        </w:rPr>
        <w:t>永久基本农田划定思路</w:t>
      </w:r>
    </w:p>
    <w:p>
      <w:pPr>
        <w:ind w:firstLine="640"/>
      </w:pPr>
      <w:r>
        <w:rPr>
          <w:rFonts w:hint="eastAsia" w:ascii="楷体" w:hAnsi="楷体" w:eastAsia="楷体"/>
        </w:rPr>
        <w:t>测定永久基本农田划定目标。</w:t>
      </w:r>
      <w:r>
        <w:rPr>
          <w:rFonts w:hint="eastAsia" w:ascii="仿宋_GB2312"/>
        </w:rPr>
        <w:t>以2020年国土变更调查成果（城镇、村庄不打开统计）中的现状耕地为基础，剔除不稳定耕地，形成初步的2020年土地变更调查成果稳定耕地数据层。并按文件要求划定的永久基本农田保护目标不得低于2020年土地变更调查成果稳定耕地总量的90%。</w:t>
      </w:r>
    </w:p>
    <w:p>
      <w:pPr>
        <w:ind w:firstLine="640"/>
        <w:rPr>
          <w:rFonts w:ascii="仿宋_GB2312"/>
        </w:rPr>
      </w:pPr>
      <w:r>
        <w:rPr>
          <w:rFonts w:hint="eastAsia" w:ascii="楷体" w:hAnsi="楷体" w:eastAsia="楷体"/>
        </w:rPr>
        <w:t>测算耕地保护目标。</w:t>
      </w:r>
      <w:r>
        <w:rPr>
          <w:rFonts w:hint="eastAsia" w:ascii="仿宋_GB2312"/>
        </w:rPr>
        <w:t>以2020年国土变更调查成果（城镇、村庄不打开统计）的现状耕地为基础，结合经认定可纳入耕地保护目标的2021年新增耕地。剔除不可纳入耕地保护目标六大类情形后，形成初步的耕地保护目标。全市2020年现状耕地7141.98 公顷，扣除不纳入耕地保护目标6种情形面积97.52公顷，同时，根据荔浦市实际情况，将2021年新增耕地库部分优质耕地共151.95公顷纳入耕地保护目标，最终测算荔浦市耕地保护目标总量7196.41公顷。</w:t>
      </w:r>
    </w:p>
    <w:p>
      <w:pPr>
        <w:ind w:firstLine="640"/>
      </w:pPr>
      <w:r>
        <w:rPr>
          <w:rFonts w:hint="eastAsia" w:ascii="楷体" w:hAnsi="楷体" w:eastAsia="楷体"/>
        </w:rPr>
        <w:t>永久基本农田划定。</w:t>
      </w:r>
      <w:r>
        <w:rPr>
          <w:rFonts w:hint="eastAsia" w:ascii="仿宋_GB2312"/>
        </w:rPr>
        <w:t>以耕地保护目标的基础，衔接2017年永久基本农田，保留可长期稳定利用耕地，剔除可调出永久基本农田的4种情形，纳入可划入永久基本农田8种情形，以及保留永久基本农田的情形后，完成永久基本农田保护目标，形成初步的永久基本农田划定成果。保证永久基本农田总体布局保持稳定，做到应保尽保。</w:t>
      </w:r>
    </w:p>
    <w:p>
      <w:pPr>
        <w:pStyle w:val="5"/>
        <w:numPr>
          <w:ilvl w:val="0"/>
          <w:numId w:val="18"/>
        </w:numPr>
        <w:spacing w:before="0" w:after="0"/>
        <w:ind w:firstLine="640"/>
        <w:rPr>
          <w:rFonts w:eastAsia="楷体_GB2312"/>
        </w:rPr>
      </w:pPr>
      <w:r>
        <w:rPr>
          <w:rFonts w:hint="eastAsia" w:eastAsia="楷体_GB2312"/>
        </w:rPr>
        <w:t>永久基本农田划定过程</w:t>
      </w:r>
    </w:p>
    <w:p>
      <w:pPr>
        <w:ind w:firstLine="640"/>
        <w:rPr>
          <w:rFonts w:ascii="仿宋_GB2312"/>
        </w:rPr>
      </w:pPr>
      <w:r>
        <w:rPr>
          <w:rFonts w:hint="eastAsia" w:ascii="楷体" w:hAnsi="楷体" w:eastAsia="楷体"/>
        </w:rPr>
        <w:t>可调出永久基本农田的情形。</w:t>
      </w:r>
      <w:r>
        <w:rPr>
          <w:rFonts w:hint="eastAsia" w:ascii="仿宋_GB2312"/>
        </w:rPr>
        <w:t>根据《自然资源部关于在全国开展“三区三线”划定工作的函》（自然资函〔2022〕47号）和《广西耕地保护目标确定和永久基本农田划定方案》的最新要求，共4种情形符合调出永久基本农田，即：</w:t>
      </w:r>
    </w:p>
    <w:p>
      <w:pPr>
        <w:ind w:firstLine="640"/>
        <w:rPr>
          <w:rFonts w:ascii="仿宋_GB2312" w:hAnsi="仿宋"/>
        </w:rPr>
      </w:pPr>
      <w:r>
        <w:rPr>
          <w:rFonts w:hint="eastAsia" w:ascii="仿宋_GB2312" w:hAnsi="仿宋"/>
        </w:rPr>
        <w:t>①以土壤污染详查结果为依据，土壤环境质量类别划分成果中划定为严格管控类的耕地，且无法恢复治理的；</w:t>
      </w:r>
    </w:p>
    <w:p>
      <w:pPr>
        <w:ind w:firstLine="640"/>
        <w:rPr>
          <w:rFonts w:ascii="仿宋_GB2312" w:hAnsi="仿宋"/>
        </w:rPr>
      </w:pPr>
      <w:r>
        <w:rPr>
          <w:rFonts w:hint="eastAsia" w:ascii="仿宋_GB2312" w:hAnsi="仿宋"/>
        </w:rPr>
        <w:t>②近期拟实施的省级及以上能源、交通、水利等重点建设项目选址确实难以避让，且已明确具体选址和规模，用地已统筹纳入国土空间规划“一张图”拟占用的；</w:t>
      </w:r>
    </w:p>
    <w:p>
      <w:pPr>
        <w:ind w:firstLine="640"/>
        <w:rPr>
          <w:rFonts w:ascii="仿宋_GB2312" w:hAnsi="仿宋"/>
        </w:rPr>
      </w:pPr>
      <w:r>
        <w:rPr>
          <w:rFonts w:hint="eastAsia" w:ascii="仿宋_GB2312" w:hAnsi="仿宋"/>
        </w:rPr>
        <w:t>③经依法批准的原土地利用总体规划和城市总体规划明确的建设用地范围，经一致性处理后纳入国土空间规划“一张图”的；</w:t>
      </w:r>
    </w:p>
    <w:p>
      <w:pPr>
        <w:ind w:firstLine="640"/>
        <w:rPr>
          <w:rFonts w:ascii="仿宋_GB2312" w:hAnsi="仿宋"/>
        </w:rPr>
      </w:pPr>
      <w:r>
        <w:rPr>
          <w:rFonts w:hint="eastAsia" w:ascii="仿宋_GB2312" w:hAnsi="仿宋"/>
        </w:rPr>
        <w:t>④《全国矿产资源规划（2021-2025年）》确定战略性矿产中的铀、铬、铜、镍、锂、钴、锆、钾盐、（中）重稀土矿开采确实难以避让，且已依法设采矿权露天采矿的。</w:t>
      </w:r>
    </w:p>
    <w:p>
      <w:pPr>
        <w:ind w:firstLine="640"/>
        <w:rPr>
          <w:rFonts w:ascii="仿宋_GB2312"/>
        </w:rPr>
      </w:pPr>
      <w:r>
        <w:rPr>
          <w:rFonts w:hint="eastAsia" w:ascii="仿宋_GB2312" w:hAnsi="楷体"/>
        </w:rPr>
        <w:t>可划入永久基本农田的情形。</w:t>
      </w:r>
      <w:r>
        <w:rPr>
          <w:rFonts w:hint="eastAsia" w:ascii="仿宋_GB2312"/>
        </w:rPr>
        <w:t>永久基本农田原则上应在纳入耕地保护目标的可长期稳定利用耕地上划定。优先将以下可长期稳定利用耕地划入永久基本农田：</w:t>
      </w:r>
    </w:p>
    <w:p>
      <w:pPr>
        <w:pStyle w:val="11"/>
        <w:numPr>
          <w:ilvl w:val="255"/>
          <w:numId w:val="0"/>
        </w:numPr>
        <w:ind w:left="640"/>
        <w:rPr>
          <w:rFonts w:ascii="仿宋_GB2312" w:hAnsi="仿宋"/>
        </w:rPr>
      </w:pPr>
      <w:r>
        <w:rPr>
          <w:rFonts w:hint="eastAsia" w:ascii="仿宋_GB2312" w:hAnsi="仿宋"/>
        </w:rPr>
        <w:t>①经国务院农业农村主管部门或者县级以上地方人民政府批准确定的粮、棉、油、糖等重要农产品生产基地内的耕地；</w:t>
      </w:r>
    </w:p>
    <w:p>
      <w:pPr>
        <w:pStyle w:val="11"/>
        <w:numPr>
          <w:ilvl w:val="255"/>
          <w:numId w:val="0"/>
        </w:numPr>
        <w:ind w:left="640"/>
        <w:rPr>
          <w:rFonts w:ascii="仿宋_GB2312" w:hAnsi="仿宋"/>
        </w:rPr>
      </w:pPr>
      <w:r>
        <w:rPr>
          <w:rFonts w:hint="eastAsia" w:ascii="仿宋_GB2312" w:hAnsi="仿宋"/>
        </w:rPr>
        <w:t>②有良好的水利与水土保持设施的耕地，正在实施改造计划以及可以改造的中、低产田和已建成的高标准农田；</w:t>
      </w:r>
    </w:p>
    <w:p>
      <w:pPr>
        <w:pStyle w:val="11"/>
        <w:numPr>
          <w:ilvl w:val="255"/>
          <w:numId w:val="0"/>
        </w:numPr>
        <w:ind w:left="640"/>
        <w:rPr>
          <w:rFonts w:ascii="仿宋_GB2312" w:hAnsi="仿宋"/>
        </w:rPr>
      </w:pPr>
      <w:r>
        <w:rPr>
          <w:rFonts w:hint="eastAsia" w:ascii="仿宋_GB2312" w:hAnsi="仿宋"/>
        </w:rPr>
        <w:t>③蔬菜生产基地；</w:t>
      </w:r>
    </w:p>
    <w:p>
      <w:pPr>
        <w:pStyle w:val="11"/>
        <w:numPr>
          <w:ilvl w:val="255"/>
          <w:numId w:val="0"/>
        </w:numPr>
        <w:ind w:left="640"/>
        <w:rPr>
          <w:rFonts w:ascii="仿宋_GB2312" w:hAnsi="仿宋"/>
        </w:rPr>
      </w:pPr>
      <w:r>
        <w:rPr>
          <w:rFonts w:hint="eastAsia" w:ascii="仿宋_GB2312" w:hAnsi="仿宋"/>
        </w:rPr>
        <w:t>④农业科研、教学试验田；</w:t>
      </w:r>
    </w:p>
    <w:p>
      <w:pPr>
        <w:pStyle w:val="11"/>
        <w:numPr>
          <w:ilvl w:val="255"/>
          <w:numId w:val="0"/>
        </w:numPr>
        <w:ind w:left="640"/>
        <w:rPr>
          <w:rFonts w:ascii="仿宋_GB2312" w:hAnsi="仿宋"/>
        </w:rPr>
      </w:pPr>
      <w:r>
        <w:rPr>
          <w:rFonts w:hint="eastAsia" w:ascii="仿宋_GB2312" w:hAnsi="仿宋"/>
        </w:rPr>
        <w:t>⑤土地综合整治新增加的耕地；</w:t>
      </w:r>
    </w:p>
    <w:p>
      <w:pPr>
        <w:pStyle w:val="11"/>
        <w:numPr>
          <w:ilvl w:val="255"/>
          <w:numId w:val="0"/>
        </w:numPr>
        <w:ind w:left="640"/>
        <w:rPr>
          <w:rFonts w:ascii="仿宋_GB2312" w:hAnsi="仿宋"/>
        </w:rPr>
      </w:pPr>
      <w:r>
        <w:rPr>
          <w:rFonts w:hint="eastAsia" w:ascii="仿宋_GB2312" w:hAnsi="仿宋"/>
        </w:rPr>
        <w:t>⑥黑土区耕地；</w:t>
      </w:r>
    </w:p>
    <w:p>
      <w:pPr>
        <w:pStyle w:val="11"/>
        <w:numPr>
          <w:ilvl w:val="255"/>
          <w:numId w:val="0"/>
        </w:numPr>
        <w:ind w:left="640"/>
        <w:rPr>
          <w:rFonts w:ascii="仿宋_GB2312" w:hAnsi="仿宋"/>
        </w:rPr>
      </w:pPr>
      <w:r>
        <w:rPr>
          <w:rFonts w:hint="eastAsia" w:ascii="仿宋_GB2312" w:hAnsi="仿宋"/>
        </w:rPr>
        <w:t>⑦国务院规定应当划为永久基本农田的其他耕地。</w:t>
      </w:r>
    </w:p>
    <w:p>
      <w:pPr>
        <w:ind w:firstLine="640"/>
        <w:rPr>
          <w:rFonts w:ascii="仿宋_GB2312" w:hAnsi="仿宋"/>
        </w:rPr>
      </w:pPr>
      <w:r>
        <w:rPr>
          <w:rFonts w:hint="eastAsia" w:ascii="仿宋_GB2312" w:hAnsi="仿宋"/>
        </w:rPr>
        <w:t>下列情况允许补充划入永久基本农田：在确保对生态功能不造成明显影响的前提下，可将自然保护地核心保护区外连片图斑不小于5亩（山地、丘陵地区可按不小于3亩）的可长期稳定利用耕地，调出生态保护红线，改划为永久基本农田。</w:t>
      </w:r>
    </w:p>
    <w:p>
      <w:pPr>
        <w:ind w:firstLine="640"/>
        <w:rPr>
          <w:rFonts w:ascii="仿宋_GB2312" w:hAnsi="仿宋"/>
        </w:rPr>
      </w:pPr>
      <w:r>
        <w:rPr>
          <w:rFonts w:hint="eastAsia" w:ascii="楷体" w:hAnsi="楷体" w:eastAsia="楷体"/>
        </w:rPr>
        <w:t>允许保留为永久基本农田的情形。</w:t>
      </w:r>
      <w:r>
        <w:rPr>
          <w:rFonts w:hint="eastAsia" w:ascii="仿宋_GB2312" w:hAnsi="仿宋"/>
        </w:rPr>
        <w:t>位于原永久基本农田范围内的难以或不宜长期稳定利用的耕地，经充分调查举证为难以退耕的口粮田等特殊情况，允许继续保留（以村为单位，举证本村范围内是否首先将可长期稳定利用耕地全部划为永久基本农田，如有可长期稳定利用耕地未划入而难以或不宜长期稳定利用耕地划入的，举证不通过）。</w:t>
      </w:r>
    </w:p>
    <w:p>
      <w:pPr>
        <w:pStyle w:val="5"/>
        <w:numPr>
          <w:ilvl w:val="0"/>
          <w:numId w:val="18"/>
        </w:numPr>
        <w:spacing w:before="0" w:after="0"/>
        <w:ind w:firstLine="640"/>
        <w:rPr>
          <w:rFonts w:eastAsia="楷体_GB2312"/>
        </w:rPr>
      </w:pPr>
      <w:r>
        <w:rPr>
          <w:rFonts w:hint="eastAsia" w:eastAsia="楷体_GB2312"/>
        </w:rPr>
        <w:t>划定结果</w:t>
      </w:r>
    </w:p>
    <w:p>
      <w:pPr>
        <w:ind w:firstLine="640"/>
        <w:rPr>
          <w:rFonts w:ascii="仿宋_GB2312" w:hAnsi="仿宋"/>
        </w:rPr>
      </w:pPr>
      <w:r>
        <w:rPr>
          <w:rFonts w:hint="eastAsia" w:ascii="仿宋_GB2312" w:hAnsi="仿宋"/>
        </w:rPr>
        <w:t>荔浦市耕地保护目标7196.41公顷，2020现状稳定耕地总面积为7010.74公顷，划定永久基本农田面积为6368.23公顷，占长期可利用稳定耕地比例的89.17%。划定永久基本农田中，全部为长期可利用稳定耕地。永久基本农田集中分布在优质耕地集中连片的马岭镇、杜莫镇、修仁镇和新坪镇等地势平坦区域的农业生产适宜区域。</w:t>
      </w:r>
    </w:p>
    <w:p>
      <w:pPr>
        <w:pStyle w:val="57"/>
        <w:spacing w:before="163" w:after="163"/>
      </w:pPr>
      <w:r>
        <w:rPr>
          <w:rFonts w:hint="eastAsia"/>
        </w:rPr>
        <w:t>荔浦市永久基本农田划定情况统计表</w:t>
      </w:r>
    </w:p>
    <w:p>
      <w:pPr>
        <w:widowControl w:val="0"/>
        <w:ind w:firstLine="2520" w:firstLineChars="1200"/>
        <w:jc w:val="right"/>
        <w:rPr>
          <w:rFonts w:ascii="仿宋" w:hAnsi="仿宋"/>
          <w:sz w:val="21"/>
          <w:szCs w:val="21"/>
        </w:rPr>
      </w:pPr>
      <w:r>
        <w:rPr>
          <w:rFonts w:hint="eastAsia" w:ascii="仿宋" w:hAnsi="仿宋"/>
          <w:sz w:val="21"/>
          <w:szCs w:val="21"/>
        </w:rPr>
        <w:t>单位：公顷</w:t>
      </w:r>
    </w:p>
    <w:tbl>
      <w:tblPr>
        <w:tblStyle w:val="37"/>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121"/>
        <w:gridCol w:w="1496"/>
        <w:gridCol w:w="965"/>
        <w:gridCol w:w="1559"/>
        <w:gridCol w:w="1134"/>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375" w:type="dxa"/>
            <w:vMerge w:val="restart"/>
            <w:vAlign w:val="center"/>
          </w:tcPr>
          <w:p>
            <w:pPr>
              <w:pStyle w:val="64"/>
              <w:rPr>
                <w:rFonts w:ascii="仿宋_GB2312"/>
                <w:szCs w:val="21"/>
              </w:rPr>
            </w:pPr>
            <w:r>
              <w:rPr>
                <w:rFonts w:hint="eastAsia" w:ascii="仿宋_GB2312"/>
                <w:szCs w:val="21"/>
              </w:rPr>
              <w:t>行政区名称</w:t>
            </w:r>
          </w:p>
        </w:tc>
        <w:tc>
          <w:tcPr>
            <w:tcW w:w="1121" w:type="dxa"/>
            <w:vMerge w:val="restart"/>
            <w:vAlign w:val="center"/>
          </w:tcPr>
          <w:p>
            <w:pPr>
              <w:pStyle w:val="64"/>
              <w:rPr>
                <w:rFonts w:ascii="仿宋_GB2312"/>
                <w:szCs w:val="21"/>
              </w:rPr>
            </w:pPr>
            <w:r>
              <w:rPr>
                <w:rFonts w:hint="eastAsia" w:ascii="仿宋_GB2312"/>
                <w:szCs w:val="21"/>
              </w:rPr>
              <w:t>耕地保护目标</w:t>
            </w:r>
          </w:p>
        </w:tc>
        <w:tc>
          <w:tcPr>
            <w:tcW w:w="1496" w:type="dxa"/>
            <w:vMerge w:val="restart"/>
            <w:vAlign w:val="center"/>
          </w:tcPr>
          <w:p>
            <w:pPr>
              <w:pStyle w:val="64"/>
              <w:rPr>
                <w:rFonts w:ascii="仿宋_GB2312"/>
                <w:szCs w:val="21"/>
              </w:rPr>
            </w:pPr>
            <w:r>
              <w:rPr>
                <w:rFonts w:hint="eastAsia" w:ascii="仿宋_GB2312"/>
                <w:szCs w:val="21"/>
              </w:rPr>
              <w:t>2020现状长期可利用稳定耕地数量</w:t>
            </w:r>
          </w:p>
        </w:tc>
        <w:tc>
          <w:tcPr>
            <w:tcW w:w="4540" w:type="dxa"/>
            <w:gridSpan w:val="4"/>
            <w:vAlign w:val="center"/>
          </w:tcPr>
          <w:p>
            <w:pPr>
              <w:pStyle w:val="64"/>
              <w:rPr>
                <w:rFonts w:ascii="仿宋_GB2312"/>
                <w:szCs w:val="21"/>
              </w:rPr>
            </w:pPr>
            <w:r>
              <w:rPr>
                <w:rFonts w:hint="eastAsia" w:ascii="仿宋_GB2312"/>
                <w:szCs w:val="21"/>
              </w:rPr>
              <w:t>划定永久基本农田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1375" w:type="dxa"/>
            <w:vMerge w:val="continue"/>
            <w:vAlign w:val="center"/>
          </w:tcPr>
          <w:p>
            <w:pPr>
              <w:pStyle w:val="64"/>
              <w:rPr>
                <w:rFonts w:ascii="仿宋_GB2312"/>
                <w:szCs w:val="21"/>
              </w:rPr>
            </w:pPr>
          </w:p>
        </w:tc>
        <w:tc>
          <w:tcPr>
            <w:tcW w:w="1121" w:type="dxa"/>
            <w:vMerge w:val="continue"/>
            <w:vAlign w:val="center"/>
          </w:tcPr>
          <w:p>
            <w:pPr>
              <w:pStyle w:val="64"/>
              <w:rPr>
                <w:rFonts w:ascii="仿宋_GB2312"/>
                <w:szCs w:val="21"/>
              </w:rPr>
            </w:pPr>
          </w:p>
        </w:tc>
        <w:tc>
          <w:tcPr>
            <w:tcW w:w="1496" w:type="dxa"/>
            <w:vMerge w:val="continue"/>
            <w:vAlign w:val="center"/>
          </w:tcPr>
          <w:p>
            <w:pPr>
              <w:pStyle w:val="64"/>
              <w:rPr>
                <w:rFonts w:ascii="仿宋_GB2312"/>
                <w:szCs w:val="21"/>
              </w:rPr>
            </w:pPr>
          </w:p>
        </w:tc>
        <w:tc>
          <w:tcPr>
            <w:tcW w:w="965" w:type="dxa"/>
            <w:vMerge w:val="restart"/>
            <w:vAlign w:val="center"/>
          </w:tcPr>
          <w:p>
            <w:pPr>
              <w:pStyle w:val="64"/>
              <w:rPr>
                <w:rFonts w:ascii="仿宋_GB2312"/>
                <w:szCs w:val="21"/>
              </w:rPr>
            </w:pPr>
            <w:r>
              <w:rPr>
                <w:rFonts w:hint="eastAsia" w:ascii="仿宋_GB2312"/>
                <w:szCs w:val="21"/>
              </w:rPr>
              <w:t>总量</w:t>
            </w:r>
          </w:p>
        </w:tc>
        <w:tc>
          <w:tcPr>
            <w:tcW w:w="2693" w:type="dxa"/>
            <w:gridSpan w:val="2"/>
            <w:vAlign w:val="center"/>
          </w:tcPr>
          <w:p>
            <w:pPr>
              <w:pStyle w:val="64"/>
              <w:rPr>
                <w:rFonts w:ascii="仿宋_GB2312"/>
                <w:szCs w:val="21"/>
              </w:rPr>
            </w:pPr>
            <w:r>
              <w:rPr>
                <w:rFonts w:hint="eastAsia" w:ascii="仿宋_GB2312"/>
                <w:szCs w:val="21"/>
              </w:rPr>
              <w:t>其中</w:t>
            </w:r>
          </w:p>
        </w:tc>
        <w:tc>
          <w:tcPr>
            <w:tcW w:w="882" w:type="dxa"/>
            <w:vMerge w:val="restart"/>
            <w:vAlign w:val="center"/>
          </w:tcPr>
          <w:p>
            <w:pPr>
              <w:pStyle w:val="64"/>
              <w:rPr>
                <w:rFonts w:ascii="仿宋_GB2312"/>
                <w:szCs w:val="21"/>
              </w:rPr>
            </w:pPr>
            <w:r>
              <w:rPr>
                <w:rFonts w:hint="eastAsia" w:ascii="仿宋_GB2312"/>
                <w:szCs w:val="21"/>
              </w:rPr>
              <w:t>占现状稳定耕地比例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75" w:type="dxa"/>
            <w:vMerge w:val="continue"/>
            <w:vAlign w:val="center"/>
          </w:tcPr>
          <w:p>
            <w:pPr>
              <w:pStyle w:val="64"/>
              <w:rPr>
                <w:rFonts w:ascii="仿宋_GB2312"/>
                <w:szCs w:val="21"/>
              </w:rPr>
            </w:pPr>
          </w:p>
        </w:tc>
        <w:tc>
          <w:tcPr>
            <w:tcW w:w="1121" w:type="dxa"/>
            <w:vMerge w:val="continue"/>
            <w:vAlign w:val="center"/>
          </w:tcPr>
          <w:p>
            <w:pPr>
              <w:pStyle w:val="64"/>
              <w:rPr>
                <w:rFonts w:ascii="仿宋_GB2312"/>
                <w:szCs w:val="21"/>
              </w:rPr>
            </w:pPr>
          </w:p>
        </w:tc>
        <w:tc>
          <w:tcPr>
            <w:tcW w:w="1496" w:type="dxa"/>
            <w:vMerge w:val="continue"/>
            <w:vAlign w:val="center"/>
          </w:tcPr>
          <w:p>
            <w:pPr>
              <w:pStyle w:val="64"/>
              <w:rPr>
                <w:rFonts w:ascii="仿宋_GB2312"/>
                <w:szCs w:val="21"/>
              </w:rPr>
            </w:pPr>
          </w:p>
        </w:tc>
        <w:tc>
          <w:tcPr>
            <w:tcW w:w="965" w:type="dxa"/>
            <w:vMerge w:val="continue"/>
            <w:vAlign w:val="center"/>
          </w:tcPr>
          <w:p>
            <w:pPr>
              <w:pStyle w:val="64"/>
              <w:rPr>
                <w:rFonts w:ascii="仿宋_GB2312"/>
                <w:szCs w:val="21"/>
              </w:rPr>
            </w:pPr>
          </w:p>
        </w:tc>
        <w:tc>
          <w:tcPr>
            <w:tcW w:w="1559" w:type="dxa"/>
            <w:vAlign w:val="center"/>
          </w:tcPr>
          <w:p>
            <w:pPr>
              <w:pStyle w:val="64"/>
              <w:rPr>
                <w:rFonts w:ascii="仿宋_GB2312"/>
                <w:szCs w:val="21"/>
              </w:rPr>
            </w:pPr>
            <w:r>
              <w:rPr>
                <w:rFonts w:hint="eastAsia" w:ascii="仿宋_GB2312"/>
                <w:szCs w:val="21"/>
              </w:rPr>
              <w:t>长期可利用稳定耕地数量</w:t>
            </w:r>
          </w:p>
        </w:tc>
        <w:tc>
          <w:tcPr>
            <w:tcW w:w="1134" w:type="dxa"/>
            <w:vAlign w:val="center"/>
          </w:tcPr>
          <w:p>
            <w:pPr>
              <w:pStyle w:val="64"/>
              <w:rPr>
                <w:rFonts w:ascii="仿宋_GB2312"/>
                <w:szCs w:val="21"/>
              </w:rPr>
            </w:pPr>
            <w:r>
              <w:rPr>
                <w:rFonts w:hint="eastAsia" w:ascii="仿宋_GB2312"/>
                <w:szCs w:val="21"/>
              </w:rPr>
              <w:t>不稳定耕地数量</w:t>
            </w:r>
          </w:p>
        </w:tc>
        <w:tc>
          <w:tcPr>
            <w:tcW w:w="882" w:type="dxa"/>
            <w:vMerge w:val="continue"/>
            <w:vAlign w:val="center"/>
          </w:tcPr>
          <w:p>
            <w:pPr>
              <w:pStyle w:val="64"/>
              <w:rPr>
                <w:rFonts w:ascii="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375" w:type="dxa"/>
            <w:vAlign w:val="center"/>
          </w:tcPr>
          <w:p>
            <w:pPr>
              <w:pStyle w:val="64"/>
              <w:rPr>
                <w:rFonts w:ascii="仿宋_GB2312"/>
                <w:szCs w:val="21"/>
              </w:rPr>
            </w:pPr>
            <w:r>
              <w:rPr>
                <w:rFonts w:hint="eastAsia" w:ascii="仿宋_GB2312"/>
                <w:szCs w:val="21"/>
              </w:rPr>
              <w:t>荔城镇</w:t>
            </w:r>
          </w:p>
        </w:tc>
        <w:tc>
          <w:tcPr>
            <w:tcW w:w="1121" w:type="dxa"/>
            <w:vAlign w:val="center"/>
          </w:tcPr>
          <w:p>
            <w:pPr>
              <w:pStyle w:val="64"/>
              <w:rPr>
                <w:rFonts w:ascii="仿宋_GB2312"/>
                <w:szCs w:val="21"/>
              </w:rPr>
            </w:pPr>
            <w:r>
              <w:rPr>
                <w:rFonts w:hint="eastAsia" w:ascii="仿宋_GB2312"/>
                <w:szCs w:val="21"/>
              </w:rPr>
              <w:t>561.03</w:t>
            </w:r>
          </w:p>
        </w:tc>
        <w:tc>
          <w:tcPr>
            <w:tcW w:w="1496" w:type="dxa"/>
            <w:vAlign w:val="center"/>
          </w:tcPr>
          <w:p>
            <w:pPr>
              <w:pStyle w:val="64"/>
              <w:rPr>
                <w:rFonts w:ascii="仿宋_GB2312"/>
                <w:szCs w:val="21"/>
              </w:rPr>
            </w:pPr>
            <w:r>
              <w:rPr>
                <w:rFonts w:hint="eastAsia" w:ascii="仿宋_GB2312"/>
                <w:szCs w:val="21"/>
              </w:rPr>
              <w:t>617.15</w:t>
            </w:r>
          </w:p>
        </w:tc>
        <w:tc>
          <w:tcPr>
            <w:tcW w:w="965" w:type="dxa"/>
            <w:vAlign w:val="center"/>
          </w:tcPr>
          <w:p>
            <w:pPr>
              <w:pStyle w:val="64"/>
              <w:rPr>
                <w:rFonts w:ascii="仿宋_GB2312"/>
                <w:szCs w:val="21"/>
              </w:rPr>
            </w:pPr>
            <w:r>
              <w:rPr>
                <w:rFonts w:hint="eastAsia" w:ascii="仿宋_GB2312"/>
                <w:szCs w:val="21"/>
              </w:rPr>
              <w:t>357.07</w:t>
            </w:r>
          </w:p>
        </w:tc>
        <w:tc>
          <w:tcPr>
            <w:tcW w:w="1559" w:type="dxa"/>
            <w:vAlign w:val="center"/>
          </w:tcPr>
          <w:p>
            <w:pPr>
              <w:pStyle w:val="64"/>
              <w:rPr>
                <w:rFonts w:ascii="仿宋_GB2312"/>
                <w:szCs w:val="21"/>
              </w:rPr>
            </w:pPr>
            <w:r>
              <w:rPr>
                <w:rFonts w:hint="eastAsia" w:ascii="仿宋_GB2312"/>
                <w:szCs w:val="21"/>
              </w:rPr>
              <w:t>357.07</w:t>
            </w:r>
          </w:p>
        </w:tc>
        <w:tc>
          <w:tcPr>
            <w:tcW w:w="1134" w:type="dxa"/>
            <w:vAlign w:val="center"/>
          </w:tcPr>
          <w:p>
            <w:pPr>
              <w:pStyle w:val="64"/>
              <w:rPr>
                <w:rFonts w:ascii="仿宋_GB2312"/>
                <w:szCs w:val="21"/>
              </w:rPr>
            </w:pPr>
            <w:r>
              <w:rPr>
                <w:rFonts w:hint="eastAsia" w:ascii="仿宋_GB2312"/>
                <w:szCs w:val="21"/>
              </w:rPr>
              <w:t>0.00</w:t>
            </w:r>
          </w:p>
        </w:tc>
        <w:tc>
          <w:tcPr>
            <w:tcW w:w="882" w:type="dxa"/>
            <w:vAlign w:val="center"/>
          </w:tcPr>
          <w:p>
            <w:pPr>
              <w:pStyle w:val="64"/>
              <w:rPr>
                <w:rFonts w:ascii="仿宋_GB2312"/>
                <w:szCs w:val="21"/>
              </w:rPr>
            </w:pPr>
            <w:r>
              <w:rPr>
                <w:rFonts w:hint="eastAsia" w:ascii="仿宋_GB2312"/>
                <w:szCs w:val="21"/>
              </w:rPr>
              <w:t>57.45%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375" w:type="dxa"/>
            <w:vAlign w:val="center"/>
          </w:tcPr>
          <w:p>
            <w:pPr>
              <w:pStyle w:val="64"/>
              <w:rPr>
                <w:rFonts w:ascii="仿宋_GB2312"/>
                <w:szCs w:val="21"/>
              </w:rPr>
            </w:pPr>
            <w:r>
              <w:rPr>
                <w:rFonts w:hint="eastAsia" w:ascii="仿宋_GB2312"/>
                <w:szCs w:val="21"/>
              </w:rPr>
              <w:t>东昌镇</w:t>
            </w:r>
          </w:p>
        </w:tc>
        <w:tc>
          <w:tcPr>
            <w:tcW w:w="1121" w:type="dxa"/>
            <w:vAlign w:val="center"/>
          </w:tcPr>
          <w:p>
            <w:pPr>
              <w:pStyle w:val="64"/>
              <w:rPr>
                <w:rFonts w:ascii="仿宋_GB2312"/>
                <w:szCs w:val="21"/>
              </w:rPr>
            </w:pPr>
            <w:r>
              <w:rPr>
                <w:rFonts w:hint="eastAsia" w:ascii="仿宋_GB2312"/>
                <w:szCs w:val="21"/>
              </w:rPr>
              <w:t>458.15</w:t>
            </w:r>
          </w:p>
        </w:tc>
        <w:tc>
          <w:tcPr>
            <w:tcW w:w="1496" w:type="dxa"/>
            <w:vAlign w:val="center"/>
          </w:tcPr>
          <w:p>
            <w:pPr>
              <w:pStyle w:val="64"/>
              <w:rPr>
                <w:rFonts w:ascii="仿宋_GB2312"/>
                <w:szCs w:val="21"/>
              </w:rPr>
            </w:pPr>
            <w:r>
              <w:rPr>
                <w:rFonts w:hint="eastAsia" w:ascii="仿宋_GB2312"/>
                <w:szCs w:val="21"/>
              </w:rPr>
              <w:t>455.75</w:t>
            </w:r>
          </w:p>
        </w:tc>
        <w:tc>
          <w:tcPr>
            <w:tcW w:w="965" w:type="dxa"/>
            <w:vAlign w:val="center"/>
          </w:tcPr>
          <w:p>
            <w:pPr>
              <w:pStyle w:val="64"/>
              <w:rPr>
                <w:rFonts w:ascii="仿宋_GB2312"/>
                <w:szCs w:val="21"/>
              </w:rPr>
            </w:pPr>
            <w:r>
              <w:rPr>
                <w:rFonts w:hint="eastAsia" w:ascii="仿宋_GB2312"/>
                <w:szCs w:val="21"/>
              </w:rPr>
              <w:t>414.54</w:t>
            </w:r>
          </w:p>
        </w:tc>
        <w:tc>
          <w:tcPr>
            <w:tcW w:w="1559" w:type="dxa"/>
            <w:vAlign w:val="center"/>
          </w:tcPr>
          <w:p>
            <w:pPr>
              <w:pStyle w:val="64"/>
              <w:rPr>
                <w:rFonts w:ascii="仿宋_GB2312"/>
                <w:szCs w:val="21"/>
              </w:rPr>
            </w:pPr>
            <w:r>
              <w:rPr>
                <w:rFonts w:hint="eastAsia" w:ascii="仿宋_GB2312"/>
                <w:szCs w:val="21"/>
              </w:rPr>
              <w:t>414.54</w:t>
            </w:r>
          </w:p>
        </w:tc>
        <w:tc>
          <w:tcPr>
            <w:tcW w:w="1134" w:type="dxa"/>
            <w:vAlign w:val="center"/>
          </w:tcPr>
          <w:p>
            <w:pPr>
              <w:pStyle w:val="64"/>
              <w:rPr>
                <w:rFonts w:ascii="仿宋_GB2312"/>
                <w:szCs w:val="21"/>
              </w:rPr>
            </w:pPr>
            <w:r>
              <w:rPr>
                <w:rFonts w:hint="eastAsia" w:ascii="仿宋_GB2312"/>
                <w:szCs w:val="21"/>
              </w:rPr>
              <w:t>0.00</w:t>
            </w:r>
          </w:p>
        </w:tc>
        <w:tc>
          <w:tcPr>
            <w:tcW w:w="882" w:type="dxa"/>
            <w:vAlign w:val="center"/>
          </w:tcPr>
          <w:p>
            <w:pPr>
              <w:pStyle w:val="64"/>
              <w:rPr>
                <w:rFonts w:ascii="仿宋_GB2312"/>
                <w:szCs w:val="21"/>
              </w:rPr>
            </w:pPr>
            <w:r>
              <w:rPr>
                <w:rFonts w:hint="eastAsia" w:ascii="仿宋_GB2312"/>
                <w:szCs w:val="21"/>
              </w:rPr>
              <w:t>89.59%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375" w:type="dxa"/>
            <w:vAlign w:val="center"/>
          </w:tcPr>
          <w:p>
            <w:pPr>
              <w:pStyle w:val="64"/>
              <w:rPr>
                <w:rFonts w:ascii="仿宋_GB2312"/>
                <w:szCs w:val="21"/>
              </w:rPr>
            </w:pPr>
            <w:r>
              <w:rPr>
                <w:rFonts w:hint="eastAsia" w:ascii="仿宋_GB2312"/>
                <w:szCs w:val="21"/>
              </w:rPr>
              <w:t>新坪镇</w:t>
            </w:r>
          </w:p>
        </w:tc>
        <w:tc>
          <w:tcPr>
            <w:tcW w:w="1121" w:type="dxa"/>
            <w:vAlign w:val="center"/>
          </w:tcPr>
          <w:p>
            <w:pPr>
              <w:pStyle w:val="64"/>
              <w:rPr>
                <w:rFonts w:ascii="仿宋_GB2312"/>
                <w:szCs w:val="21"/>
              </w:rPr>
            </w:pPr>
            <w:r>
              <w:rPr>
                <w:rFonts w:hint="eastAsia" w:ascii="仿宋_GB2312"/>
                <w:szCs w:val="21"/>
              </w:rPr>
              <w:t>837.90</w:t>
            </w:r>
          </w:p>
        </w:tc>
        <w:tc>
          <w:tcPr>
            <w:tcW w:w="1496" w:type="dxa"/>
            <w:vAlign w:val="center"/>
          </w:tcPr>
          <w:p>
            <w:pPr>
              <w:pStyle w:val="64"/>
              <w:rPr>
                <w:rFonts w:ascii="仿宋_GB2312"/>
                <w:szCs w:val="21"/>
              </w:rPr>
            </w:pPr>
            <w:r>
              <w:rPr>
                <w:rFonts w:hint="eastAsia" w:ascii="仿宋_GB2312"/>
                <w:szCs w:val="21"/>
              </w:rPr>
              <w:t>824.22</w:t>
            </w:r>
          </w:p>
        </w:tc>
        <w:tc>
          <w:tcPr>
            <w:tcW w:w="965" w:type="dxa"/>
            <w:vAlign w:val="center"/>
          </w:tcPr>
          <w:p>
            <w:pPr>
              <w:pStyle w:val="64"/>
              <w:rPr>
                <w:rFonts w:ascii="仿宋_GB2312"/>
                <w:szCs w:val="21"/>
              </w:rPr>
            </w:pPr>
            <w:r>
              <w:rPr>
                <w:rFonts w:hint="eastAsia" w:ascii="仿宋_GB2312"/>
                <w:szCs w:val="21"/>
              </w:rPr>
              <w:t>751.28</w:t>
            </w:r>
          </w:p>
        </w:tc>
        <w:tc>
          <w:tcPr>
            <w:tcW w:w="1559" w:type="dxa"/>
            <w:vAlign w:val="center"/>
          </w:tcPr>
          <w:p>
            <w:pPr>
              <w:pStyle w:val="64"/>
              <w:rPr>
                <w:rFonts w:ascii="仿宋_GB2312"/>
                <w:szCs w:val="21"/>
              </w:rPr>
            </w:pPr>
            <w:r>
              <w:rPr>
                <w:rFonts w:hint="eastAsia" w:ascii="仿宋_GB2312"/>
                <w:szCs w:val="21"/>
              </w:rPr>
              <w:t>751.28</w:t>
            </w:r>
          </w:p>
        </w:tc>
        <w:tc>
          <w:tcPr>
            <w:tcW w:w="1134" w:type="dxa"/>
            <w:vAlign w:val="center"/>
          </w:tcPr>
          <w:p>
            <w:pPr>
              <w:pStyle w:val="64"/>
              <w:rPr>
                <w:rFonts w:ascii="仿宋_GB2312"/>
                <w:szCs w:val="21"/>
              </w:rPr>
            </w:pPr>
            <w:r>
              <w:rPr>
                <w:rFonts w:hint="eastAsia" w:ascii="仿宋_GB2312"/>
                <w:szCs w:val="21"/>
              </w:rPr>
              <w:t>0.00</w:t>
            </w:r>
          </w:p>
        </w:tc>
        <w:tc>
          <w:tcPr>
            <w:tcW w:w="882" w:type="dxa"/>
            <w:vAlign w:val="center"/>
          </w:tcPr>
          <w:p>
            <w:pPr>
              <w:pStyle w:val="64"/>
              <w:rPr>
                <w:rFonts w:ascii="仿宋_GB2312"/>
                <w:szCs w:val="21"/>
              </w:rPr>
            </w:pPr>
            <w:r>
              <w:rPr>
                <w:rFonts w:hint="eastAsia" w:ascii="仿宋_GB2312"/>
                <w:szCs w:val="21"/>
              </w:rPr>
              <w:t>89.25%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375" w:type="dxa"/>
            <w:vAlign w:val="center"/>
          </w:tcPr>
          <w:p>
            <w:pPr>
              <w:pStyle w:val="64"/>
              <w:rPr>
                <w:rFonts w:ascii="仿宋_GB2312"/>
                <w:szCs w:val="21"/>
              </w:rPr>
            </w:pPr>
            <w:r>
              <w:rPr>
                <w:rFonts w:hint="eastAsia" w:ascii="仿宋_GB2312"/>
                <w:szCs w:val="21"/>
              </w:rPr>
              <w:t>杜莫镇</w:t>
            </w:r>
          </w:p>
        </w:tc>
        <w:tc>
          <w:tcPr>
            <w:tcW w:w="1121" w:type="dxa"/>
            <w:vAlign w:val="center"/>
          </w:tcPr>
          <w:p>
            <w:pPr>
              <w:pStyle w:val="64"/>
              <w:rPr>
                <w:rFonts w:ascii="仿宋_GB2312"/>
                <w:szCs w:val="21"/>
              </w:rPr>
            </w:pPr>
            <w:r>
              <w:rPr>
                <w:rFonts w:hint="eastAsia" w:ascii="仿宋_GB2312"/>
                <w:szCs w:val="21"/>
              </w:rPr>
              <w:t>883.41</w:t>
            </w:r>
          </w:p>
        </w:tc>
        <w:tc>
          <w:tcPr>
            <w:tcW w:w="1496" w:type="dxa"/>
            <w:vAlign w:val="center"/>
          </w:tcPr>
          <w:p>
            <w:pPr>
              <w:pStyle w:val="64"/>
              <w:rPr>
                <w:rFonts w:ascii="仿宋_GB2312"/>
                <w:szCs w:val="21"/>
              </w:rPr>
            </w:pPr>
            <w:r>
              <w:rPr>
                <w:rFonts w:hint="eastAsia" w:ascii="仿宋_GB2312"/>
                <w:szCs w:val="21"/>
              </w:rPr>
              <w:t>861.73</w:t>
            </w:r>
          </w:p>
        </w:tc>
        <w:tc>
          <w:tcPr>
            <w:tcW w:w="965" w:type="dxa"/>
            <w:vAlign w:val="center"/>
          </w:tcPr>
          <w:p>
            <w:pPr>
              <w:pStyle w:val="64"/>
              <w:rPr>
                <w:rFonts w:ascii="仿宋_GB2312"/>
                <w:szCs w:val="21"/>
              </w:rPr>
            </w:pPr>
            <w:r>
              <w:rPr>
                <w:rFonts w:hint="eastAsia" w:ascii="仿宋_GB2312"/>
                <w:szCs w:val="21"/>
              </w:rPr>
              <w:t>826.57</w:t>
            </w:r>
          </w:p>
        </w:tc>
        <w:tc>
          <w:tcPr>
            <w:tcW w:w="1559" w:type="dxa"/>
            <w:vAlign w:val="center"/>
          </w:tcPr>
          <w:p>
            <w:pPr>
              <w:pStyle w:val="64"/>
              <w:rPr>
                <w:rFonts w:ascii="仿宋_GB2312"/>
                <w:szCs w:val="21"/>
              </w:rPr>
            </w:pPr>
            <w:r>
              <w:rPr>
                <w:rFonts w:hint="eastAsia" w:ascii="仿宋_GB2312"/>
                <w:szCs w:val="21"/>
              </w:rPr>
              <w:t>826.57</w:t>
            </w:r>
          </w:p>
        </w:tc>
        <w:tc>
          <w:tcPr>
            <w:tcW w:w="1134" w:type="dxa"/>
            <w:vAlign w:val="center"/>
          </w:tcPr>
          <w:p>
            <w:pPr>
              <w:pStyle w:val="64"/>
              <w:rPr>
                <w:rFonts w:ascii="仿宋_GB2312"/>
                <w:szCs w:val="21"/>
              </w:rPr>
            </w:pPr>
            <w:r>
              <w:rPr>
                <w:rFonts w:hint="eastAsia" w:ascii="仿宋_GB2312"/>
                <w:szCs w:val="21"/>
              </w:rPr>
              <w:t>0.00</w:t>
            </w:r>
          </w:p>
        </w:tc>
        <w:tc>
          <w:tcPr>
            <w:tcW w:w="882" w:type="dxa"/>
            <w:vAlign w:val="center"/>
          </w:tcPr>
          <w:p>
            <w:pPr>
              <w:pStyle w:val="64"/>
              <w:rPr>
                <w:rFonts w:ascii="仿宋_GB2312"/>
                <w:szCs w:val="21"/>
              </w:rPr>
            </w:pPr>
            <w:r>
              <w:rPr>
                <w:rFonts w:hint="eastAsia" w:ascii="仿宋_GB2312"/>
                <w:szCs w:val="21"/>
              </w:rPr>
              <w:t>94.41%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375" w:type="dxa"/>
            <w:vAlign w:val="center"/>
          </w:tcPr>
          <w:p>
            <w:pPr>
              <w:pStyle w:val="64"/>
              <w:rPr>
                <w:rFonts w:ascii="仿宋_GB2312"/>
                <w:szCs w:val="21"/>
              </w:rPr>
            </w:pPr>
            <w:r>
              <w:rPr>
                <w:rFonts w:hint="eastAsia" w:ascii="仿宋_GB2312"/>
                <w:szCs w:val="21"/>
              </w:rPr>
              <w:t>青山镇</w:t>
            </w:r>
          </w:p>
        </w:tc>
        <w:tc>
          <w:tcPr>
            <w:tcW w:w="1121" w:type="dxa"/>
            <w:vAlign w:val="center"/>
          </w:tcPr>
          <w:p>
            <w:pPr>
              <w:pStyle w:val="64"/>
              <w:rPr>
                <w:rFonts w:ascii="仿宋_GB2312"/>
                <w:szCs w:val="21"/>
              </w:rPr>
            </w:pPr>
            <w:r>
              <w:rPr>
                <w:rFonts w:hint="eastAsia" w:ascii="仿宋_GB2312"/>
                <w:szCs w:val="21"/>
              </w:rPr>
              <w:t>159.28</w:t>
            </w:r>
          </w:p>
        </w:tc>
        <w:tc>
          <w:tcPr>
            <w:tcW w:w="1496" w:type="dxa"/>
            <w:vAlign w:val="center"/>
          </w:tcPr>
          <w:p>
            <w:pPr>
              <w:pStyle w:val="64"/>
              <w:rPr>
                <w:rFonts w:ascii="仿宋_GB2312"/>
                <w:szCs w:val="21"/>
              </w:rPr>
            </w:pPr>
            <w:r>
              <w:rPr>
                <w:rFonts w:hint="eastAsia" w:ascii="仿宋_GB2312"/>
                <w:szCs w:val="21"/>
              </w:rPr>
              <w:t>155.85</w:t>
            </w:r>
          </w:p>
        </w:tc>
        <w:tc>
          <w:tcPr>
            <w:tcW w:w="965" w:type="dxa"/>
            <w:vAlign w:val="center"/>
          </w:tcPr>
          <w:p>
            <w:pPr>
              <w:pStyle w:val="64"/>
              <w:rPr>
                <w:rFonts w:ascii="仿宋_GB2312"/>
                <w:szCs w:val="21"/>
              </w:rPr>
            </w:pPr>
            <w:r>
              <w:rPr>
                <w:rFonts w:hint="eastAsia" w:ascii="仿宋_GB2312"/>
                <w:szCs w:val="21"/>
              </w:rPr>
              <w:t>135.29</w:t>
            </w:r>
          </w:p>
        </w:tc>
        <w:tc>
          <w:tcPr>
            <w:tcW w:w="1559" w:type="dxa"/>
            <w:vAlign w:val="center"/>
          </w:tcPr>
          <w:p>
            <w:pPr>
              <w:pStyle w:val="64"/>
              <w:rPr>
                <w:rFonts w:ascii="仿宋_GB2312"/>
                <w:szCs w:val="21"/>
              </w:rPr>
            </w:pPr>
            <w:r>
              <w:rPr>
                <w:rFonts w:hint="eastAsia" w:ascii="仿宋_GB2312"/>
                <w:szCs w:val="21"/>
              </w:rPr>
              <w:t>135.29</w:t>
            </w:r>
          </w:p>
        </w:tc>
        <w:tc>
          <w:tcPr>
            <w:tcW w:w="1134" w:type="dxa"/>
            <w:vAlign w:val="center"/>
          </w:tcPr>
          <w:p>
            <w:pPr>
              <w:pStyle w:val="64"/>
              <w:rPr>
                <w:rFonts w:ascii="仿宋_GB2312"/>
                <w:szCs w:val="21"/>
              </w:rPr>
            </w:pPr>
            <w:r>
              <w:rPr>
                <w:rFonts w:hint="eastAsia" w:ascii="仿宋_GB2312"/>
                <w:szCs w:val="21"/>
              </w:rPr>
              <w:t>0.00</w:t>
            </w:r>
          </w:p>
        </w:tc>
        <w:tc>
          <w:tcPr>
            <w:tcW w:w="882" w:type="dxa"/>
            <w:vAlign w:val="center"/>
          </w:tcPr>
          <w:p>
            <w:pPr>
              <w:pStyle w:val="64"/>
              <w:rPr>
                <w:rFonts w:ascii="仿宋_GB2312"/>
                <w:szCs w:val="21"/>
              </w:rPr>
            </w:pPr>
            <w:r>
              <w:rPr>
                <w:rFonts w:hint="eastAsia" w:ascii="仿宋_GB2312"/>
                <w:szCs w:val="21"/>
              </w:rPr>
              <w:t>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375" w:type="dxa"/>
            <w:vAlign w:val="center"/>
          </w:tcPr>
          <w:p>
            <w:pPr>
              <w:pStyle w:val="64"/>
              <w:rPr>
                <w:rFonts w:ascii="仿宋_GB2312"/>
                <w:szCs w:val="21"/>
              </w:rPr>
            </w:pPr>
            <w:r>
              <w:rPr>
                <w:rFonts w:hint="eastAsia" w:ascii="仿宋_GB2312"/>
                <w:szCs w:val="21"/>
              </w:rPr>
              <w:t>修仁镇</w:t>
            </w:r>
          </w:p>
        </w:tc>
        <w:tc>
          <w:tcPr>
            <w:tcW w:w="1121" w:type="dxa"/>
            <w:vAlign w:val="center"/>
          </w:tcPr>
          <w:p>
            <w:pPr>
              <w:pStyle w:val="64"/>
              <w:rPr>
                <w:rFonts w:ascii="仿宋_GB2312"/>
                <w:szCs w:val="21"/>
              </w:rPr>
            </w:pPr>
            <w:r>
              <w:rPr>
                <w:rFonts w:hint="eastAsia" w:ascii="仿宋_GB2312"/>
                <w:szCs w:val="21"/>
              </w:rPr>
              <w:t>887.42</w:t>
            </w:r>
          </w:p>
        </w:tc>
        <w:tc>
          <w:tcPr>
            <w:tcW w:w="1496" w:type="dxa"/>
            <w:vAlign w:val="center"/>
          </w:tcPr>
          <w:p>
            <w:pPr>
              <w:pStyle w:val="64"/>
              <w:rPr>
                <w:rFonts w:ascii="仿宋_GB2312"/>
                <w:szCs w:val="21"/>
              </w:rPr>
            </w:pPr>
            <w:r>
              <w:rPr>
                <w:rFonts w:hint="eastAsia" w:ascii="仿宋_GB2312"/>
                <w:szCs w:val="21"/>
              </w:rPr>
              <w:t>819.72</w:t>
            </w:r>
          </w:p>
        </w:tc>
        <w:tc>
          <w:tcPr>
            <w:tcW w:w="965" w:type="dxa"/>
            <w:vAlign w:val="center"/>
          </w:tcPr>
          <w:p>
            <w:pPr>
              <w:pStyle w:val="64"/>
              <w:rPr>
                <w:rFonts w:ascii="仿宋_GB2312"/>
                <w:szCs w:val="21"/>
              </w:rPr>
            </w:pPr>
            <w:r>
              <w:rPr>
                <w:rFonts w:hint="eastAsia" w:ascii="仿宋_GB2312"/>
                <w:szCs w:val="21"/>
              </w:rPr>
              <w:t>787.14</w:t>
            </w:r>
          </w:p>
        </w:tc>
        <w:tc>
          <w:tcPr>
            <w:tcW w:w="1559" w:type="dxa"/>
            <w:vAlign w:val="center"/>
          </w:tcPr>
          <w:p>
            <w:pPr>
              <w:pStyle w:val="64"/>
              <w:rPr>
                <w:rFonts w:ascii="仿宋_GB2312"/>
                <w:szCs w:val="21"/>
              </w:rPr>
            </w:pPr>
            <w:r>
              <w:rPr>
                <w:rFonts w:hint="eastAsia" w:ascii="仿宋_GB2312"/>
                <w:szCs w:val="21"/>
              </w:rPr>
              <w:t>787.14</w:t>
            </w:r>
          </w:p>
        </w:tc>
        <w:tc>
          <w:tcPr>
            <w:tcW w:w="1134" w:type="dxa"/>
            <w:vAlign w:val="center"/>
          </w:tcPr>
          <w:p>
            <w:pPr>
              <w:pStyle w:val="64"/>
              <w:rPr>
                <w:rFonts w:ascii="仿宋_GB2312"/>
                <w:szCs w:val="21"/>
              </w:rPr>
            </w:pPr>
            <w:r>
              <w:rPr>
                <w:rFonts w:hint="eastAsia" w:ascii="仿宋_GB2312"/>
                <w:szCs w:val="21"/>
              </w:rPr>
              <w:t>0.00</w:t>
            </w:r>
          </w:p>
        </w:tc>
        <w:tc>
          <w:tcPr>
            <w:tcW w:w="882" w:type="dxa"/>
            <w:vAlign w:val="center"/>
          </w:tcPr>
          <w:p>
            <w:pPr>
              <w:pStyle w:val="64"/>
              <w:rPr>
                <w:rFonts w:ascii="仿宋_GB2312"/>
                <w:szCs w:val="21"/>
              </w:rPr>
            </w:pPr>
            <w:r>
              <w:rPr>
                <w:rFonts w:hint="eastAsia" w:ascii="仿宋_GB2312"/>
                <w:szCs w:val="21"/>
              </w:rPr>
              <w:t>95.85%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375" w:type="dxa"/>
            <w:vAlign w:val="center"/>
          </w:tcPr>
          <w:p>
            <w:pPr>
              <w:pStyle w:val="64"/>
              <w:rPr>
                <w:rFonts w:ascii="仿宋_GB2312"/>
                <w:szCs w:val="21"/>
              </w:rPr>
            </w:pPr>
            <w:r>
              <w:rPr>
                <w:rFonts w:hint="eastAsia" w:ascii="仿宋_GB2312"/>
                <w:szCs w:val="21"/>
              </w:rPr>
              <w:t>大塘镇</w:t>
            </w:r>
          </w:p>
        </w:tc>
        <w:tc>
          <w:tcPr>
            <w:tcW w:w="1121" w:type="dxa"/>
            <w:vAlign w:val="center"/>
          </w:tcPr>
          <w:p>
            <w:pPr>
              <w:pStyle w:val="64"/>
              <w:rPr>
                <w:rFonts w:ascii="仿宋_GB2312"/>
                <w:szCs w:val="21"/>
              </w:rPr>
            </w:pPr>
            <w:r>
              <w:rPr>
                <w:rFonts w:hint="eastAsia" w:ascii="仿宋_GB2312"/>
                <w:szCs w:val="21"/>
              </w:rPr>
              <w:t>480.44</w:t>
            </w:r>
          </w:p>
        </w:tc>
        <w:tc>
          <w:tcPr>
            <w:tcW w:w="1496" w:type="dxa"/>
            <w:vAlign w:val="center"/>
          </w:tcPr>
          <w:p>
            <w:pPr>
              <w:pStyle w:val="64"/>
              <w:rPr>
                <w:rFonts w:ascii="仿宋_GB2312"/>
                <w:szCs w:val="21"/>
              </w:rPr>
            </w:pPr>
            <w:r>
              <w:rPr>
                <w:rFonts w:hint="eastAsia" w:ascii="仿宋_GB2312"/>
                <w:szCs w:val="21"/>
              </w:rPr>
              <w:t>471.69</w:t>
            </w:r>
          </w:p>
        </w:tc>
        <w:tc>
          <w:tcPr>
            <w:tcW w:w="965" w:type="dxa"/>
            <w:vAlign w:val="center"/>
          </w:tcPr>
          <w:p>
            <w:pPr>
              <w:pStyle w:val="64"/>
              <w:rPr>
                <w:rFonts w:ascii="仿宋_GB2312"/>
                <w:szCs w:val="21"/>
              </w:rPr>
            </w:pPr>
            <w:r>
              <w:rPr>
                <w:rFonts w:hint="eastAsia" w:ascii="仿宋_GB2312"/>
                <w:szCs w:val="21"/>
              </w:rPr>
              <w:t>453.14</w:t>
            </w:r>
          </w:p>
        </w:tc>
        <w:tc>
          <w:tcPr>
            <w:tcW w:w="1559" w:type="dxa"/>
            <w:vAlign w:val="center"/>
          </w:tcPr>
          <w:p>
            <w:pPr>
              <w:pStyle w:val="64"/>
              <w:rPr>
                <w:rFonts w:ascii="仿宋_GB2312"/>
                <w:szCs w:val="21"/>
              </w:rPr>
            </w:pPr>
            <w:r>
              <w:rPr>
                <w:rFonts w:hint="eastAsia" w:ascii="仿宋_GB2312"/>
                <w:szCs w:val="21"/>
              </w:rPr>
              <w:t>453.14</w:t>
            </w:r>
          </w:p>
        </w:tc>
        <w:tc>
          <w:tcPr>
            <w:tcW w:w="1134" w:type="dxa"/>
            <w:vAlign w:val="center"/>
          </w:tcPr>
          <w:p>
            <w:pPr>
              <w:pStyle w:val="64"/>
              <w:rPr>
                <w:rFonts w:ascii="仿宋_GB2312"/>
                <w:szCs w:val="21"/>
              </w:rPr>
            </w:pPr>
            <w:r>
              <w:rPr>
                <w:rFonts w:hint="eastAsia" w:ascii="仿宋_GB2312"/>
                <w:szCs w:val="21"/>
              </w:rPr>
              <w:t>0.00</w:t>
            </w:r>
          </w:p>
        </w:tc>
        <w:tc>
          <w:tcPr>
            <w:tcW w:w="882" w:type="dxa"/>
            <w:vAlign w:val="center"/>
          </w:tcPr>
          <w:p>
            <w:pPr>
              <w:pStyle w:val="64"/>
              <w:rPr>
                <w:rFonts w:ascii="仿宋_GB2312"/>
                <w:szCs w:val="21"/>
              </w:rPr>
            </w:pPr>
            <w:r>
              <w:rPr>
                <w:rFonts w:hint="eastAsia" w:ascii="仿宋_GB2312"/>
                <w:szCs w:val="21"/>
              </w:rPr>
              <w:t>94.97%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375" w:type="dxa"/>
            <w:vAlign w:val="center"/>
          </w:tcPr>
          <w:p>
            <w:pPr>
              <w:pStyle w:val="64"/>
              <w:rPr>
                <w:rFonts w:ascii="仿宋_GB2312"/>
                <w:szCs w:val="21"/>
              </w:rPr>
            </w:pPr>
            <w:r>
              <w:rPr>
                <w:rFonts w:hint="eastAsia" w:ascii="仿宋_GB2312"/>
                <w:szCs w:val="21"/>
              </w:rPr>
              <w:t>花</w:t>
            </w:r>
            <w:r>
              <w:rPr>
                <w:rFonts w:hint="eastAsia" w:eastAsia="宋体" w:cs="微软雅黑"/>
                <w:szCs w:val="21"/>
              </w:rPr>
              <w:t>篢</w:t>
            </w:r>
            <w:r>
              <w:rPr>
                <w:rFonts w:hint="eastAsia" w:ascii="仿宋_GB2312" w:hAnsi="仿宋_GB2312" w:cs="仿宋_GB2312"/>
                <w:szCs w:val="21"/>
              </w:rPr>
              <w:t>镇</w:t>
            </w:r>
          </w:p>
        </w:tc>
        <w:tc>
          <w:tcPr>
            <w:tcW w:w="1121" w:type="dxa"/>
            <w:vAlign w:val="center"/>
          </w:tcPr>
          <w:p>
            <w:pPr>
              <w:pStyle w:val="64"/>
              <w:rPr>
                <w:rFonts w:ascii="仿宋_GB2312"/>
                <w:szCs w:val="21"/>
              </w:rPr>
            </w:pPr>
            <w:r>
              <w:rPr>
                <w:rFonts w:hint="eastAsia" w:ascii="仿宋_GB2312"/>
                <w:szCs w:val="21"/>
              </w:rPr>
              <w:t>583.20</w:t>
            </w:r>
          </w:p>
        </w:tc>
        <w:tc>
          <w:tcPr>
            <w:tcW w:w="1496" w:type="dxa"/>
            <w:vAlign w:val="center"/>
          </w:tcPr>
          <w:p>
            <w:pPr>
              <w:pStyle w:val="64"/>
              <w:rPr>
                <w:rFonts w:ascii="仿宋_GB2312"/>
                <w:szCs w:val="21"/>
              </w:rPr>
            </w:pPr>
            <w:r>
              <w:rPr>
                <w:rFonts w:hint="eastAsia" w:ascii="仿宋_GB2312"/>
                <w:szCs w:val="21"/>
              </w:rPr>
              <w:t>570.58</w:t>
            </w:r>
          </w:p>
        </w:tc>
        <w:tc>
          <w:tcPr>
            <w:tcW w:w="965" w:type="dxa"/>
            <w:vAlign w:val="center"/>
          </w:tcPr>
          <w:p>
            <w:pPr>
              <w:pStyle w:val="64"/>
              <w:rPr>
                <w:rFonts w:ascii="仿宋_GB2312"/>
                <w:szCs w:val="21"/>
              </w:rPr>
            </w:pPr>
            <w:r>
              <w:rPr>
                <w:rFonts w:hint="eastAsia" w:ascii="仿宋_GB2312"/>
                <w:szCs w:val="21"/>
              </w:rPr>
              <w:t>552.57</w:t>
            </w:r>
          </w:p>
        </w:tc>
        <w:tc>
          <w:tcPr>
            <w:tcW w:w="1559" w:type="dxa"/>
            <w:vAlign w:val="center"/>
          </w:tcPr>
          <w:p>
            <w:pPr>
              <w:pStyle w:val="64"/>
              <w:rPr>
                <w:rFonts w:ascii="仿宋_GB2312"/>
                <w:szCs w:val="21"/>
              </w:rPr>
            </w:pPr>
            <w:r>
              <w:rPr>
                <w:rFonts w:hint="eastAsia" w:ascii="仿宋_GB2312"/>
                <w:szCs w:val="21"/>
              </w:rPr>
              <w:t>552.57</w:t>
            </w:r>
          </w:p>
        </w:tc>
        <w:tc>
          <w:tcPr>
            <w:tcW w:w="1134" w:type="dxa"/>
            <w:vAlign w:val="center"/>
          </w:tcPr>
          <w:p>
            <w:pPr>
              <w:pStyle w:val="64"/>
              <w:rPr>
                <w:rFonts w:ascii="仿宋_GB2312"/>
                <w:szCs w:val="21"/>
              </w:rPr>
            </w:pPr>
            <w:r>
              <w:rPr>
                <w:rFonts w:hint="eastAsia" w:ascii="仿宋_GB2312"/>
                <w:szCs w:val="21"/>
              </w:rPr>
              <w:t>0.00</w:t>
            </w:r>
          </w:p>
        </w:tc>
        <w:tc>
          <w:tcPr>
            <w:tcW w:w="882" w:type="dxa"/>
            <w:vAlign w:val="center"/>
          </w:tcPr>
          <w:p>
            <w:pPr>
              <w:pStyle w:val="64"/>
              <w:rPr>
                <w:rFonts w:ascii="仿宋_GB2312"/>
                <w:szCs w:val="21"/>
              </w:rPr>
            </w:pPr>
            <w:r>
              <w:rPr>
                <w:rFonts w:hint="eastAsia" w:ascii="仿宋_GB2312"/>
                <w:szCs w:val="21"/>
              </w:rPr>
              <w:t>95.59%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375" w:type="dxa"/>
            <w:vAlign w:val="center"/>
          </w:tcPr>
          <w:p>
            <w:pPr>
              <w:pStyle w:val="64"/>
              <w:rPr>
                <w:rFonts w:ascii="仿宋_GB2312"/>
                <w:szCs w:val="21"/>
              </w:rPr>
            </w:pPr>
            <w:r>
              <w:rPr>
                <w:rFonts w:hint="eastAsia" w:ascii="仿宋_GB2312"/>
                <w:szCs w:val="21"/>
              </w:rPr>
              <w:t>双江镇</w:t>
            </w:r>
          </w:p>
        </w:tc>
        <w:tc>
          <w:tcPr>
            <w:tcW w:w="1121" w:type="dxa"/>
            <w:vAlign w:val="center"/>
          </w:tcPr>
          <w:p>
            <w:pPr>
              <w:pStyle w:val="64"/>
              <w:rPr>
                <w:rFonts w:ascii="仿宋_GB2312"/>
                <w:szCs w:val="21"/>
              </w:rPr>
            </w:pPr>
            <w:r>
              <w:rPr>
                <w:rFonts w:hint="eastAsia" w:ascii="仿宋_GB2312"/>
                <w:szCs w:val="21"/>
              </w:rPr>
              <w:t>655.52</w:t>
            </w:r>
          </w:p>
        </w:tc>
        <w:tc>
          <w:tcPr>
            <w:tcW w:w="1496" w:type="dxa"/>
            <w:vAlign w:val="center"/>
          </w:tcPr>
          <w:p>
            <w:pPr>
              <w:pStyle w:val="64"/>
              <w:rPr>
                <w:rFonts w:ascii="仿宋_GB2312"/>
                <w:szCs w:val="21"/>
              </w:rPr>
            </w:pPr>
            <w:r>
              <w:rPr>
                <w:rFonts w:hint="eastAsia" w:ascii="仿宋_GB2312"/>
                <w:szCs w:val="21"/>
              </w:rPr>
              <w:t>617.93</w:t>
            </w:r>
          </w:p>
        </w:tc>
        <w:tc>
          <w:tcPr>
            <w:tcW w:w="965" w:type="dxa"/>
            <w:vAlign w:val="center"/>
          </w:tcPr>
          <w:p>
            <w:pPr>
              <w:pStyle w:val="64"/>
              <w:rPr>
                <w:rFonts w:ascii="仿宋_GB2312"/>
                <w:szCs w:val="21"/>
              </w:rPr>
            </w:pPr>
            <w:r>
              <w:rPr>
                <w:rFonts w:hint="eastAsia" w:ascii="仿宋_GB2312"/>
                <w:szCs w:val="21"/>
              </w:rPr>
              <w:t>591.98</w:t>
            </w:r>
          </w:p>
        </w:tc>
        <w:tc>
          <w:tcPr>
            <w:tcW w:w="1559" w:type="dxa"/>
            <w:vAlign w:val="center"/>
          </w:tcPr>
          <w:p>
            <w:pPr>
              <w:pStyle w:val="64"/>
              <w:rPr>
                <w:rFonts w:ascii="仿宋_GB2312"/>
                <w:szCs w:val="21"/>
              </w:rPr>
            </w:pPr>
            <w:r>
              <w:rPr>
                <w:rFonts w:hint="eastAsia" w:ascii="仿宋_GB2312"/>
                <w:szCs w:val="21"/>
              </w:rPr>
              <w:t>591.98</w:t>
            </w:r>
          </w:p>
        </w:tc>
        <w:tc>
          <w:tcPr>
            <w:tcW w:w="1134" w:type="dxa"/>
            <w:vAlign w:val="center"/>
          </w:tcPr>
          <w:p>
            <w:pPr>
              <w:pStyle w:val="64"/>
              <w:rPr>
                <w:rFonts w:ascii="仿宋_GB2312"/>
                <w:szCs w:val="21"/>
              </w:rPr>
            </w:pPr>
            <w:r>
              <w:rPr>
                <w:rFonts w:hint="eastAsia" w:ascii="仿宋_GB2312"/>
                <w:szCs w:val="21"/>
              </w:rPr>
              <w:t>0.00</w:t>
            </w:r>
          </w:p>
        </w:tc>
        <w:tc>
          <w:tcPr>
            <w:tcW w:w="882" w:type="dxa"/>
            <w:vAlign w:val="center"/>
          </w:tcPr>
          <w:p>
            <w:pPr>
              <w:pStyle w:val="64"/>
              <w:rPr>
                <w:rFonts w:ascii="仿宋_GB2312"/>
                <w:szCs w:val="21"/>
              </w:rPr>
            </w:pPr>
            <w:r>
              <w:rPr>
                <w:rFonts w:hint="eastAsia" w:ascii="仿宋_GB2312"/>
                <w:szCs w:val="21"/>
              </w:rPr>
              <w:t>94.72%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375" w:type="dxa"/>
            <w:vAlign w:val="center"/>
          </w:tcPr>
          <w:p>
            <w:pPr>
              <w:pStyle w:val="64"/>
              <w:rPr>
                <w:rFonts w:ascii="仿宋_GB2312"/>
                <w:szCs w:val="21"/>
              </w:rPr>
            </w:pPr>
            <w:r>
              <w:rPr>
                <w:rFonts w:hint="eastAsia" w:ascii="仿宋_GB2312"/>
                <w:szCs w:val="21"/>
              </w:rPr>
              <w:t>马岭镇</w:t>
            </w:r>
          </w:p>
        </w:tc>
        <w:tc>
          <w:tcPr>
            <w:tcW w:w="1121" w:type="dxa"/>
            <w:vAlign w:val="center"/>
          </w:tcPr>
          <w:p>
            <w:pPr>
              <w:pStyle w:val="64"/>
              <w:rPr>
                <w:rFonts w:ascii="仿宋_GB2312"/>
                <w:szCs w:val="21"/>
              </w:rPr>
            </w:pPr>
            <w:r>
              <w:rPr>
                <w:rFonts w:hint="eastAsia" w:ascii="仿宋_GB2312"/>
                <w:szCs w:val="21"/>
              </w:rPr>
              <w:t>1268.87</w:t>
            </w:r>
          </w:p>
        </w:tc>
        <w:tc>
          <w:tcPr>
            <w:tcW w:w="1496" w:type="dxa"/>
            <w:vAlign w:val="center"/>
          </w:tcPr>
          <w:p>
            <w:pPr>
              <w:pStyle w:val="64"/>
              <w:rPr>
                <w:rFonts w:ascii="仿宋_GB2312"/>
                <w:szCs w:val="21"/>
              </w:rPr>
            </w:pPr>
            <w:r>
              <w:rPr>
                <w:rFonts w:hint="eastAsia" w:ascii="仿宋_GB2312"/>
                <w:szCs w:val="21"/>
              </w:rPr>
              <w:t>1253.66</w:t>
            </w:r>
          </w:p>
        </w:tc>
        <w:tc>
          <w:tcPr>
            <w:tcW w:w="965" w:type="dxa"/>
            <w:vAlign w:val="center"/>
          </w:tcPr>
          <w:p>
            <w:pPr>
              <w:pStyle w:val="64"/>
              <w:rPr>
                <w:rFonts w:ascii="仿宋_GB2312"/>
                <w:szCs w:val="21"/>
              </w:rPr>
            </w:pPr>
            <w:r>
              <w:rPr>
                <w:rFonts w:hint="eastAsia" w:ascii="仿宋_GB2312"/>
                <w:szCs w:val="21"/>
              </w:rPr>
              <w:t>1179.12</w:t>
            </w:r>
          </w:p>
        </w:tc>
        <w:tc>
          <w:tcPr>
            <w:tcW w:w="1559" w:type="dxa"/>
            <w:vAlign w:val="center"/>
          </w:tcPr>
          <w:p>
            <w:pPr>
              <w:pStyle w:val="64"/>
              <w:rPr>
                <w:rFonts w:ascii="仿宋_GB2312"/>
                <w:szCs w:val="21"/>
              </w:rPr>
            </w:pPr>
            <w:r>
              <w:rPr>
                <w:rFonts w:hint="eastAsia" w:ascii="仿宋_GB2312"/>
                <w:szCs w:val="21"/>
              </w:rPr>
              <w:t>1179.12</w:t>
            </w:r>
          </w:p>
        </w:tc>
        <w:tc>
          <w:tcPr>
            <w:tcW w:w="1134" w:type="dxa"/>
            <w:vAlign w:val="center"/>
          </w:tcPr>
          <w:p>
            <w:pPr>
              <w:pStyle w:val="64"/>
              <w:rPr>
                <w:rFonts w:ascii="仿宋_GB2312"/>
                <w:szCs w:val="21"/>
              </w:rPr>
            </w:pPr>
            <w:r>
              <w:rPr>
                <w:rFonts w:hint="eastAsia" w:ascii="仿宋_GB2312"/>
                <w:szCs w:val="21"/>
              </w:rPr>
              <w:t>0.00</w:t>
            </w:r>
          </w:p>
        </w:tc>
        <w:tc>
          <w:tcPr>
            <w:tcW w:w="882" w:type="dxa"/>
            <w:vAlign w:val="center"/>
          </w:tcPr>
          <w:p>
            <w:pPr>
              <w:pStyle w:val="64"/>
              <w:rPr>
                <w:rFonts w:ascii="仿宋_GB2312"/>
                <w:szCs w:val="21"/>
              </w:rPr>
            </w:pPr>
            <w:r>
              <w:rPr>
                <w:rFonts w:hint="eastAsia" w:ascii="仿宋_GB2312"/>
                <w:szCs w:val="21"/>
              </w:rPr>
              <w:t>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375" w:type="dxa"/>
            <w:vAlign w:val="center"/>
          </w:tcPr>
          <w:p>
            <w:pPr>
              <w:pStyle w:val="64"/>
              <w:rPr>
                <w:rFonts w:ascii="仿宋_GB2312"/>
                <w:szCs w:val="21"/>
              </w:rPr>
            </w:pPr>
            <w:r>
              <w:rPr>
                <w:rFonts w:hint="eastAsia" w:ascii="仿宋_GB2312"/>
                <w:szCs w:val="21"/>
              </w:rPr>
              <w:t>龙怀乡</w:t>
            </w:r>
          </w:p>
        </w:tc>
        <w:tc>
          <w:tcPr>
            <w:tcW w:w="1121" w:type="dxa"/>
            <w:vAlign w:val="center"/>
          </w:tcPr>
          <w:p>
            <w:pPr>
              <w:pStyle w:val="64"/>
              <w:rPr>
                <w:rFonts w:ascii="仿宋_GB2312"/>
                <w:szCs w:val="21"/>
              </w:rPr>
            </w:pPr>
            <w:r>
              <w:rPr>
                <w:rFonts w:hint="eastAsia" w:ascii="仿宋_GB2312"/>
                <w:szCs w:val="21"/>
              </w:rPr>
              <w:t>220.25</w:t>
            </w:r>
          </w:p>
        </w:tc>
        <w:tc>
          <w:tcPr>
            <w:tcW w:w="1496" w:type="dxa"/>
            <w:vAlign w:val="center"/>
          </w:tcPr>
          <w:p>
            <w:pPr>
              <w:pStyle w:val="64"/>
              <w:rPr>
                <w:rFonts w:ascii="仿宋_GB2312"/>
                <w:szCs w:val="21"/>
              </w:rPr>
            </w:pPr>
            <w:r>
              <w:rPr>
                <w:rFonts w:hint="eastAsia" w:ascii="仿宋_GB2312"/>
                <w:szCs w:val="21"/>
              </w:rPr>
              <w:t>189.41</w:t>
            </w:r>
          </w:p>
        </w:tc>
        <w:tc>
          <w:tcPr>
            <w:tcW w:w="965" w:type="dxa"/>
            <w:vAlign w:val="center"/>
          </w:tcPr>
          <w:p>
            <w:pPr>
              <w:pStyle w:val="64"/>
              <w:rPr>
                <w:rFonts w:ascii="仿宋_GB2312"/>
                <w:szCs w:val="21"/>
              </w:rPr>
            </w:pPr>
            <w:r>
              <w:rPr>
                <w:rFonts w:hint="eastAsia" w:ascii="仿宋_GB2312"/>
                <w:szCs w:val="21"/>
              </w:rPr>
              <w:t>170.41</w:t>
            </w:r>
          </w:p>
        </w:tc>
        <w:tc>
          <w:tcPr>
            <w:tcW w:w="1559" w:type="dxa"/>
            <w:vAlign w:val="center"/>
          </w:tcPr>
          <w:p>
            <w:pPr>
              <w:pStyle w:val="64"/>
              <w:rPr>
                <w:rFonts w:ascii="仿宋_GB2312"/>
                <w:szCs w:val="21"/>
              </w:rPr>
            </w:pPr>
            <w:r>
              <w:rPr>
                <w:rFonts w:hint="eastAsia" w:ascii="仿宋_GB2312"/>
                <w:szCs w:val="21"/>
              </w:rPr>
              <w:t>170.41</w:t>
            </w:r>
          </w:p>
        </w:tc>
        <w:tc>
          <w:tcPr>
            <w:tcW w:w="1134" w:type="dxa"/>
            <w:vAlign w:val="center"/>
          </w:tcPr>
          <w:p>
            <w:pPr>
              <w:pStyle w:val="64"/>
              <w:rPr>
                <w:rFonts w:ascii="仿宋_GB2312"/>
                <w:szCs w:val="21"/>
              </w:rPr>
            </w:pPr>
            <w:r>
              <w:rPr>
                <w:rFonts w:hint="eastAsia" w:ascii="仿宋_GB2312"/>
                <w:szCs w:val="21"/>
              </w:rPr>
              <w:t>0.00</w:t>
            </w:r>
          </w:p>
        </w:tc>
        <w:tc>
          <w:tcPr>
            <w:tcW w:w="882" w:type="dxa"/>
            <w:vAlign w:val="center"/>
          </w:tcPr>
          <w:p>
            <w:pPr>
              <w:pStyle w:val="64"/>
              <w:rPr>
                <w:rFonts w:ascii="仿宋_GB2312"/>
                <w:szCs w:val="21"/>
              </w:rPr>
            </w:pPr>
            <w:r>
              <w:rPr>
                <w:rFonts w:hint="eastAsia" w:ascii="仿宋_GB2312"/>
                <w:szCs w:val="21"/>
              </w:rPr>
              <w:t>80.30%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375" w:type="dxa"/>
            <w:vAlign w:val="center"/>
          </w:tcPr>
          <w:p>
            <w:pPr>
              <w:pStyle w:val="64"/>
              <w:rPr>
                <w:rFonts w:ascii="仿宋_GB2312"/>
                <w:szCs w:val="21"/>
              </w:rPr>
            </w:pPr>
            <w:r>
              <w:rPr>
                <w:rFonts w:hint="eastAsia" w:ascii="仿宋_GB2312"/>
                <w:szCs w:val="21"/>
              </w:rPr>
              <w:t>茶城乡</w:t>
            </w:r>
          </w:p>
        </w:tc>
        <w:tc>
          <w:tcPr>
            <w:tcW w:w="1121" w:type="dxa"/>
            <w:vAlign w:val="center"/>
          </w:tcPr>
          <w:p>
            <w:pPr>
              <w:pStyle w:val="64"/>
              <w:rPr>
                <w:rFonts w:ascii="仿宋_GB2312"/>
                <w:szCs w:val="21"/>
              </w:rPr>
            </w:pPr>
            <w:r>
              <w:rPr>
                <w:rFonts w:hint="eastAsia" w:ascii="仿宋_GB2312"/>
                <w:szCs w:val="21"/>
              </w:rPr>
              <w:t>78.48</w:t>
            </w:r>
          </w:p>
        </w:tc>
        <w:tc>
          <w:tcPr>
            <w:tcW w:w="1496" w:type="dxa"/>
            <w:vAlign w:val="center"/>
          </w:tcPr>
          <w:p>
            <w:pPr>
              <w:pStyle w:val="64"/>
              <w:rPr>
                <w:rFonts w:ascii="仿宋_GB2312"/>
                <w:szCs w:val="21"/>
              </w:rPr>
            </w:pPr>
            <w:r>
              <w:rPr>
                <w:rFonts w:hint="eastAsia" w:ascii="仿宋_GB2312"/>
                <w:szCs w:val="21"/>
              </w:rPr>
              <w:t>77.18</w:t>
            </w:r>
          </w:p>
        </w:tc>
        <w:tc>
          <w:tcPr>
            <w:tcW w:w="965" w:type="dxa"/>
            <w:vAlign w:val="center"/>
          </w:tcPr>
          <w:p>
            <w:pPr>
              <w:pStyle w:val="64"/>
              <w:rPr>
                <w:rFonts w:ascii="仿宋_GB2312"/>
                <w:szCs w:val="21"/>
              </w:rPr>
            </w:pPr>
            <w:r>
              <w:rPr>
                <w:rFonts w:hint="eastAsia" w:ascii="仿宋_GB2312"/>
                <w:szCs w:val="21"/>
              </w:rPr>
              <w:t>65.09</w:t>
            </w:r>
          </w:p>
        </w:tc>
        <w:tc>
          <w:tcPr>
            <w:tcW w:w="1559" w:type="dxa"/>
            <w:vAlign w:val="center"/>
          </w:tcPr>
          <w:p>
            <w:pPr>
              <w:pStyle w:val="64"/>
              <w:rPr>
                <w:rFonts w:ascii="仿宋_GB2312"/>
                <w:szCs w:val="21"/>
              </w:rPr>
            </w:pPr>
            <w:r>
              <w:rPr>
                <w:rFonts w:hint="eastAsia" w:ascii="仿宋_GB2312"/>
                <w:szCs w:val="21"/>
              </w:rPr>
              <w:t>65.09</w:t>
            </w:r>
          </w:p>
        </w:tc>
        <w:tc>
          <w:tcPr>
            <w:tcW w:w="1134" w:type="dxa"/>
            <w:vAlign w:val="center"/>
          </w:tcPr>
          <w:p>
            <w:pPr>
              <w:pStyle w:val="64"/>
              <w:rPr>
                <w:rFonts w:ascii="仿宋_GB2312"/>
                <w:szCs w:val="21"/>
              </w:rPr>
            </w:pPr>
            <w:r>
              <w:rPr>
                <w:rFonts w:hint="eastAsia" w:ascii="仿宋_GB2312"/>
                <w:szCs w:val="21"/>
              </w:rPr>
              <w:t>0.00</w:t>
            </w:r>
          </w:p>
        </w:tc>
        <w:tc>
          <w:tcPr>
            <w:tcW w:w="882" w:type="dxa"/>
            <w:vAlign w:val="center"/>
          </w:tcPr>
          <w:p>
            <w:pPr>
              <w:pStyle w:val="64"/>
              <w:rPr>
                <w:rFonts w:ascii="仿宋_GB2312"/>
                <w:szCs w:val="21"/>
              </w:rPr>
            </w:pPr>
            <w:r>
              <w:rPr>
                <w:rFonts w:hint="eastAsia" w:ascii="仿宋_GB2312"/>
                <w:szCs w:val="21"/>
              </w:rPr>
              <w:t>79.39%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375" w:type="dxa"/>
            <w:vAlign w:val="center"/>
          </w:tcPr>
          <w:p>
            <w:pPr>
              <w:pStyle w:val="64"/>
              <w:rPr>
                <w:rFonts w:ascii="仿宋_GB2312"/>
                <w:szCs w:val="21"/>
              </w:rPr>
            </w:pPr>
            <w:r>
              <w:rPr>
                <w:rFonts w:hint="eastAsia" w:ascii="仿宋_GB2312"/>
                <w:szCs w:val="21"/>
              </w:rPr>
              <w:t>蒲芦瑶族乡</w:t>
            </w:r>
          </w:p>
        </w:tc>
        <w:tc>
          <w:tcPr>
            <w:tcW w:w="1121" w:type="dxa"/>
            <w:vAlign w:val="center"/>
          </w:tcPr>
          <w:p>
            <w:pPr>
              <w:pStyle w:val="64"/>
              <w:rPr>
                <w:rFonts w:ascii="仿宋_GB2312"/>
                <w:szCs w:val="21"/>
              </w:rPr>
            </w:pPr>
            <w:r>
              <w:rPr>
                <w:rFonts w:hint="eastAsia" w:ascii="仿宋_GB2312"/>
                <w:szCs w:val="21"/>
              </w:rPr>
              <w:t>122.46</w:t>
            </w:r>
          </w:p>
        </w:tc>
        <w:tc>
          <w:tcPr>
            <w:tcW w:w="1496" w:type="dxa"/>
            <w:vAlign w:val="center"/>
          </w:tcPr>
          <w:p>
            <w:pPr>
              <w:pStyle w:val="64"/>
              <w:rPr>
                <w:rFonts w:ascii="仿宋_GB2312"/>
                <w:szCs w:val="21"/>
              </w:rPr>
            </w:pPr>
            <w:r>
              <w:rPr>
                <w:rFonts w:hint="eastAsia" w:ascii="仿宋_GB2312"/>
                <w:szCs w:val="21"/>
              </w:rPr>
              <w:t>95.87</w:t>
            </w:r>
          </w:p>
        </w:tc>
        <w:tc>
          <w:tcPr>
            <w:tcW w:w="965" w:type="dxa"/>
            <w:vAlign w:val="center"/>
          </w:tcPr>
          <w:p>
            <w:pPr>
              <w:pStyle w:val="64"/>
              <w:rPr>
                <w:rFonts w:ascii="仿宋_GB2312"/>
                <w:szCs w:val="21"/>
              </w:rPr>
            </w:pPr>
            <w:r>
              <w:rPr>
                <w:rFonts w:hint="eastAsia" w:ascii="仿宋_GB2312"/>
                <w:szCs w:val="21"/>
              </w:rPr>
              <w:t>84.04</w:t>
            </w:r>
          </w:p>
        </w:tc>
        <w:tc>
          <w:tcPr>
            <w:tcW w:w="1559" w:type="dxa"/>
            <w:vAlign w:val="center"/>
          </w:tcPr>
          <w:p>
            <w:pPr>
              <w:pStyle w:val="64"/>
              <w:rPr>
                <w:rFonts w:ascii="仿宋_GB2312"/>
                <w:szCs w:val="21"/>
              </w:rPr>
            </w:pPr>
            <w:r>
              <w:rPr>
                <w:rFonts w:hint="eastAsia" w:ascii="仿宋_GB2312"/>
                <w:szCs w:val="21"/>
              </w:rPr>
              <w:t>84.04</w:t>
            </w:r>
          </w:p>
        </w:tc>
        <w:tc>
          <w:tcPr>
            <w:tcW w:w="1134" w:type="dxa"/>
            <w:vAlign w:val="center"/>
          </w:tcPr>
          <w:p>
            <w:pPr>
              <w:pStyle w:val="64"/>
              <w:rPr>
                <w:rFonts w:ascii="仿宋_GB2312"/>
                <w:szCs w:val="21"/>
              </w:rPr>
            </w:pPr>
            <w:r>
              <w:rPr>
                <w:rFonts w:hint="eastAsia" w:ascii="仿宋_GB2312"/>
                <w:szCs w:val="21"/>
              </w:rPr>
              <w:t>0.00</w:t>
            </w:r>
          </w:p>
        </w:tc>
        <w:tc>
          <w:tcPr>
            <w:tcW w:w="882" w:type="dxa"/>
            <w:vAlign w:val="center"/>
          </w:tcPr>
          <w:p>
            <w:pPr>
              <w:pStyle w:val="64"/>
              <w:rPr>
                <w:rFonts w:ascii="仿宋_GB2312"/>
                <w:szCs w:val="21"/>
              </w:rPr>
            </w:pPr>
            <w:r>
              <w:rPr>
                <w:rFonts w:hint="eastAsia" w:ascii="仿宋_GB2312"/>
                <w:szCs w:val="21"/>
              </w:rPr>
              <w:t>69.56%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375" w:type="dxa"/>
            <w:vAlign w:val="center"/>
          </w:tcPr>
          <w:p>
            <w:pPr>
              <w:pStyle w:val="64"/>
              <w:rPr>
                <w:rFonts w:ascii="仿宋_GB2312"/>
                <w:szCs w:val="21"/>
              </w:rPr>
            </w:pPr>
            <w:r>
              <w:rPr>
                <w:rFonts w:hint="eastAsia" w:ascii="仿宋_GB2312"/>
                <w:szCs w:val="21"/>
              </w:rPr>
              <w:t>全市合计</w:t>
            </w:r>
          </w:p>
        </w:tc>
        <w:tc>
          <w:tcPr>
            <w:tcW w:w="1121" w:type="dxa"/>
            <w:vAlign w:val="center"/>
          </w:tcPr>
          <w:p>
            <w:pPr>
              <w:pStyle w:val="64"/>
              <w:rPr>
                <w:rFonts w:ascii="仿宋_GB2312"/>
                <w:szCs w:val="21"/>
              </w:rPr>
            </w:pPr>
            <w:r>
              <w:rPr>
                <w:rFonts w:hint="eastAsia" w:ascii="仿宋_GB2312"/>
                <w:szCs w:val="21"/>
              </w:rPr>
              <w:t>7196.41</w:t>
            </w:r>
          </w:p>
        </w:tc>
        <w:tc>
          <w:tcPr>
            <w:tcW w:w="1496" w:type="dxa"/>
            <w:vAlign w:val="center"/>
          </w:tcPr>
          <w:p>
            <w:pPr>
              <w:pStyle w:val="64"/>
              <w:rPr>
                <w:rFonts w:ascii="仿宋_GB2312"/>
                <w:szCs w:val="21"/>
              </w:rPr>
            </w:pPr>
            <w:r>
              <w:rPr>
                <w:rFonts w:hint="eastAsia" w:ascii="仿宋_GB2312"/>
                <w:szCs w:val="21"/>
              </w:rPr>
              <w:t>7010.74</w:t>
            </w:r>
          </w:p>
        </w:tc>
        <w:tc>
          <w:tcPr>
            <w:tcW w:w="965" w:type="dxa"/>
            <w:vAlign w:val="center"/>
          </w:tcPr>
          <w:p>
            <w:pPr>
              <w:pStyle w:val="64"/>
              <w:rPr>
                <w:rFonts w:ascii="仿宋_GB2312"/>
                <w:szCs w:val="21"/>
              </w:rPr>
            </w:pPr>
            <w:r>
              <w:rPr>
                <w:rFonts w:hint="eastAsia" w:ascii="仿宋_GB2312"/>
                <w:szCs w:val="21"/>
              </w:rPr>
              <w:t>6368.23</w:t>
            </w:r>
          </w:p>
        </w:tc>
        <w:tc>
          <w:tcPr>
            <w:tcW w:w="1559" w:type="dxa"/>
            <w:vAlign w:val="center"/>
          </w:tcPr>
          <w:p>
            <w:pPr>
              <w:pStyle w:val="64"/>
              <w:rPr>
                <w:rFonts w:ascii="仿宋_GB2312"/>
                <w:szCs w:val="21"/>
              </w:rPr>
            </w:pPr>
            <w:r>
              <w:rPr>
                <w:rFonts w:hint="eastAsia" w:ascii="仿宋_GB2312"/>
                <w:szCs w:val="21"/>
              </w:rPr>
              <w:t>6368.23</w:t>
            </w:r>
          </w:p>
        </w:tc>
        <w:tc>
          <w:tcPr>
            <w:tcW w:w="1134" w:type="dxa"/>
            <w:vAlign w:val="center"/>
          </w:tcPr>
          <w:p>
            <w:pPr>
              <w:pStyle w:val="64"/>
              <w:rPr>
                <w:rFonts w:ascii="仿宋_GB2312"/>
                <w:szCs w:val="21"/>
              </w:rPr>
            </w:pPr>
            <w:r>
              <w:rPr>
                <w:rFonts w:hint="eastAsia" w:ascii="仿宋_GB2312"/>
                <w:szCs w:val="21"/>
              </w:rPr>
              <w:t>0.00</w:t>
            </w:r>
          </w:p>
        </w:tc>
        <w:tc>
          <w:tcPr>
            <w:tcW w:w="882" w:type="dxa"/>
            <w:vAlign w:val="center"/>
          </w:tcPr>
          <w:p>
            <w:pPr>
              <w:pStyle w:val="64"/>
              <w:rPr>
                <w:rFonts w:ascii="仿宋_GB2312"/>
                <w:szCs w:val="21"/>
              </w:rPr>
            </w:pPr>
            <w:r>
              <w:rPr>
                <w:rFonts w:hint="eastAsia" w:ascii="仿宋_GB2312"/>
                <w:szCs w:val="21"/>
              </w:rPr>
              <w:t>89.17%</w:t>
            </w:r>
          </w:p>
        </w:tc>
      </w:tr>
    </w:tbl>
    <w:p>
      <w:pPr>
        <w:pStyle w:val="4"/>
        <w:numPr>
          <w:ilvl w:val="0"/>
          <w:numId w:val="17"/>
        </w:numPr>
        <w:ind w:firstLineChars="0"/>
      </w:pPr>
      <w:r>
        <w:rPr>
          <w:rFonts w:hint="eastAsia"/>
        </w:rPr>
        <w:t>生态保护红线划定</w:t>
      </w:r>
    </w:p>
    <w:p>
      <w:pPr>
        <w:pStyle w:val="5"/>
        <w:numPr>
          <w:ilvl w:val="0"/>
          <w:numId w:val="19"/>
        </w:numPr>
        <w:spacing w:before="0" w:after="0"/>
        <w:ind w:firstLine="640"/>
        <w:rPr>
          <w:rFonts w:ascii="楷体_GB2312" w:hAnsi="楷体" w:eastAsia="楷体_GB2312"/>
        </w:rPr>
      </w:pPr>
      <w:r>
        <w:rPr>
          <w:rFonts w:hint="eastAsia" w:ascii="楷体_GB2312" w:hAnsi="楷体" w:eastAsia="楷体_GB2312"/>
        </w:rPr>
        <w:t>生态保护红线划定原则与方法</w:t>
      </w:r>
    </w:p>
    <w:p>
      <w:pPr>
        <w:ind w:firstLine="640"/>
        <w:rPr>
          <w:rFonts w:ascii="仿宋_GB2312" w:hAnsi="仿宋"/>
        </w:rPr>
      </w:pPr>
      <w:r>
        <w:rPr>
          <w:rFonts w:hint="eastAsia" w:ascii="仿宋_GB2312" w:hAnsi="仿宋"/>
        </w:rPr>
        <w:t>坚持人与自然和谐共生的基本方略，牢固树立尊重自然、顺应自然、保护自然的理念，落实应划尽划要求，科学划定生态保护红线范围，充分衔接自然保护地整合优化成果，筑牢桂林市生态安全屏障。按照生态功能划定生态保护红线，优先将具有重要水源涵养、生物多样性维护、水土保持、海岸防护等功能的生态功能极重要区域，以及生态极敏感脆弱的水土流失区域划入生态保护红线，其他经评估目前虽然不能确定但具有潜在重要生态价值的区域也划入生态保护红线。对自然保护地进行调整优化，评估调整后的自然保护地划入生态保护红线，自然保护地发生调整的，生态保护红线相应调整。</w:t>
      </w:r>
    </w:p>
    <w:p>
      <w:pPr>
        <w:ind w:firstLine="640"/>
        <w:rPr>
          <w:rFonts w:ascii="仿宋_GB2312" w:hAnsi="仿宋"/>
        </w:rPr>
      </w:pPr>
      <w:r>
        <w:rPr>
          <w:rFonts w:hint="eastAsia" w:ascii="仿宋_GB2312" w:hAnsi="仿宋"/>
        </w:rPr>
        <w:t>生态保护红线评估调整的内容包括基础数据准确性、边界一致性、应划尽划、矛盾冲突情况等。依据《广西生态保护红线调整规则》，对涉及市域内的自然保护区、森林公园、地质公园、野生动物重要栖息地、饮用水水源地、国家一级公益林、生态功能极重要区域、极敏感区域等9种应划尽划类型，以及永久基本农田、永久基本农田储备区、一般耕地、人工商品林、城镇村等建设用地、相关规划范围、破碎且无保护意义图斑、公路、风电项目、旅游开发项目等21种矛盾冲突类型进行评估调出生态保护红线。</w:t>
      </w:r>
    </w:p>
    <w:p>
      <w:pPr>
        <w:pStyle w:val="5"/>
        <w:numPr>
          <w:ilvl w:val="0"/>
          <w:numId w:val="19"/>
        </w:numPr>
        <w:spacing w:before="0" w:after="0"/>
        <w:ind w:firstLine="640"/>
        <w:rPr>
          <w:rFonts w:ascii="楷体_GB2312" w:hAnsi="楷体" w:eastAsia="楷体_GB2312"/>
        </w:rPr>
      </w:pPr>
      <w:r>
        <w:rPr>
          <w:rFonts w:hint="eastAsia" w:ascii="楷体_GB2312" w:hAnsi="楷体" w:eastAsia="楷体_GB2312"/>
        </w:rPr>
        <w:t>生态保护红线划定结果</w:t>
      </w:r>
    </w:p>
    <w:p>
      <w:pPr>
        <w:ind w:firstLine="640"/>
        <w:rPr>
          <w:rFonts w:ascii="仿宋_GB2312" w:hAnsi="仿宋"/>
        </w:rPr>
      </w:pPr>
      <w:r>
        <w:rPr>
          <w:rFonts w:hint="eastAsia" w:ascii="仿宋_GB2312" w:hAnsi="仿宋"/>
        </w:rPr>
        <w:t>优化调整后，荔浦市生态保护红线47175.76公顷，占市域国土面积比例27%左右。包括架桥岭—大瑶山一带、昭平北部—平乐南部山地一带、广西荔浦荔江国家湿地公园等水源涵养、生物多样性维护功能极重要区域和生态极敏感脆弱的喀斯特石山密布区域。相比原生态保护红线，优化调整后生态保护红线面积减少了11217.90公顷。</w:t>
      </w:r>
    </w:p>
    <w:p>
      <w:pPr>
        <w:pStyle w:val="57"/>
        <w:spacing w:before="0" w:beforeLines="0" w:after="0" w:afterLines="0"/>
      </w:pPr>
      <w:r>
        <w:rPr>
          <w:rFonts w:hint="eastAsia"/>
        </w:rPr>
        <w:t>荔浦市生态保护红线调整结果表</w:t>
      </w:r>
    </w:p>
    <w:p>
      <w:pPr>
        <w:widowControl w:val="0"/>
        <w:spacing w:line="600" w:lineRule="exact"/>
        <w:ind w:firstLine="420"/>
        <w:jc w:val="right"/>
        <w:rPr>
          <w:rFonts w:ascii="仿宋" w:hAnsi="仿宋"/>
          <w:sz w:val="21"/>
          <w:szCs w:val="21"/>
        </w:rPr>
      </w:pPr>
      <w:r>
        <w:rPr>
          <w:rFonts w:hint="eastAsia" w:ascii="仿宋" w:hAnsi="仿宋"/>
          <w:sz w:val="21"/>
          <w:szCs w:val="21"/>
        </w:rPr>
        <w:t>单位：公顷</w:t>
      </w:r>
    </w:p>
    <w:tbl>
      <w:tblPr>
        <w:tblStyle w:val="3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2004"/>
        <w:gridCol w:w="237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1876" w:type="dxa"/>
            <w:vAlign w:val="center"/>
          </w:tcPr>
          <w:p>
            <w:pPr>
              <w:pStyle w:val="64"/>
              <w:rPr>
                <w:rFonts w:ascii="仿宋_GB2312"/>
                <w:szCs w:val="21"/>
              </w:rPr>
            </w:pPr>
            <w:r>
              <w:rPr>
                <w:rFonts w:hint="eastAsia" w:ascii="仿宋_GB2312"/>
                <w:szCs w:val="21"/>
              </w:rPr>
              <w:t>行政区（乡镇）</w:t>
            </w:r>
          </w:p>
        </w:tc>
        <w:tc>
          <w:tcPr>
            <w:tcW w:w="2004" w:type="dxa"/>
            <w:vAlign w:val="center"/>
          </w:tcPr>
          <w:p>
            <w:pPr>
              <w:pStyle w:val="64"/>
              <w:rPr>
                <w:rFonts w:ascii="仿宋_GB2312"/>
                <w:szCs w:val="21"/>
              </w:rPr>
            </w:pPr>
            <w:r>
              <w:rPr>
                <w:rFonts w:hint="eastAsia" w:ascii="仿宋_GB2312"/>
                <w:szCs w:val="21"/>
              </w:rPr>
              <w:t>原生态保护红线面积</w:t>
            </w:r>
          </w:p>
        </w:tc>
        <w:tc>
          <w:tcPr>
            <w:tcW w:w="2370" w:type="dxa"/>
            <w:vAlign w:val="center"/>
          </w:tcPr>
          <w:p>
            <w:pPr>
              <w:pStyle w:val="64"/>
              <w:rPr>
                <w:rFonts w:ascii="仿宋_GB2312"/>
                <w:szCs w:val="21"/>
              </w:rPr>
            </w:pPr>
            <w:r>
              <w:rPr>
                <w:rFonts w:hint="eastAsia" w:ascii="仿宋_GB2312"/>
                <w:szCs w:val="21"/>
              </w:rPr>
              <w:t>优化调整后生态保护红线划定面积</w:t>
            </w:r>
          </w:p>
        </w:tc>
        <w:tc>
          <w:tcPr>
            <w:tcW w:w="2046" w:type="dxa"/>
            <w:vAlign w:val="center"/>
          </w:tcPr>
          <w:p>
            <w:pPr>
              <w:pStyle w:val="64"/>
              <w:rPr>
                <w:rFonts w:ascii="仿宋_GB2312"/>
                <w:szCs w:val="21"/>
              </w:rPr>
            </w:pPr>
            <w:r>
              <w:rPr>
                <w:rFonts w:hint="eastAsia" w:ascii="仿宋_GB2312"/>
                <w:szCs w:val="21"/>
              </w:rPr>
              <w:t>生态保护红线面积变化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876" w:type="dxa"/>
            <w:vAlign w:val="center"/>
          </w:tcPr>
          <w:p>
            <w:pPr>
              <w:pStyle w:val="64"/>
              <w:rPr>
                <w:rFonts w:ascii="仿宋_GB2312"/>
                <w:szCs w:val="21"/>
              </w:rPr>
            </w:pPr>
            <w:r>
              <w:rPr>
                <w:rFonts w:hint="eastAsia" w:ascii="仿宋_GB2312"/>
                <w:szCs w:val="21"/>
              </w:rPr>
              <w:t>荔城镇</w:t>
            </w:r>
          </w:p>
        </w:tc>
        <w:tc>
          <w:tcPr>
            <w:tcW w:w="2004" w:type="dxa"/>
            <w:vAlign w:val="center"/>
          </w:tcPr>
          <w:p>
            <w:pPr>
              <w:pStyle w:val="64"/>
              <w:rPr>
                <w:rFonts w:ascii="仿宋_GB2312"/>
                <w:szCs w:val="21"/>
              </w:rPr>
            </w:pPr>
            <w:r>
              <w:rPr>
                <w:rFonts w:hint="eastAsia" w:ascii="仿宋_GB2312"/>
                <w:szCs w:val="21"/>
              </w:rPr>
              <w:t>1062.74</w:t>
            </w:r>
          </w:p>
        </w:tc>
        <w:tc>
          <w:tcPr>
            <w:tcW w:w="2370" w:type="dxa"/>
            <w:vAlign w:val="center"/>
          </w:tcPr>
          <w:p>
            <w:pPr>
              <w:pStyle w:val="64"/>
              <w:rPr>
                <w:rFonts w:ascii="仿宋_GB2312"/>
                <w:szCs w:val="21"/>
              </w:rPr>
            </w:pPr>
            <w:r>
              <w:rPr>
                <w:rFonts w:hint="eastAsia" w:ascii="仿宋_GB2312"/>
                <w:szCs w:val="21"/>
              </w:rPr>
              <w:t>442.84</w:t>
            </w:r>
          </w:p>
        </w:tc>
        <w:tc>
          <w:tcPr>
            <w:tcW w:w="2046" w:type="dxa"/>
            <w:vAlign w:val="center"/>
          </w:tcPr>
          <w:p>
            <w:pPr>
              <w:pStyle w:val="64"/>
              <w:rPr>
                <w:rFonts w:ascii="仿宋_GB2312"/>
                <w:szCs w:val="21"/>
              </w:rPr>
            </w:pPr>
            <w:r>
              <w:rPr>
                <w:rFonts w:hint="eastAsia" w:ascii="仿宋_GB2312"/>
                <w:szCs w:val="21"/>
              </w:rPr>
              <w:t>619.90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876" w:type="dxa"/>
            <w:vAlign w:val="center"/>
          </w:tcPr>
          <w:p>
            <w:pPr>
              <w:pStyle w:val="64"/>
              <w:rPr>
                <w:rFonts w:ascii="仿宋_GB2312"/>
                <w:szCs w:val="21"/>
              </w:rPr>
            </w:pPr>
            <w:r>
              <w:rPr>
                <w:rFonts w:hint="eastAsia" w:ascii="仿宋_GB2312"/>
                <w:szCs w:val="21"/>
              </w:rPr>
              <w:t>东昌镇</w:t>
            </w:r>
          </w:p>
        </w:tc>
        <w:tc>
          <w:tcPr>
            <w:tcW w:w="2004" w:type="dxa"/>
            <w:vAlign w:val="center"/>
          </w:tcPr>
          <w:p>
            <w:pPr>
              <w:pStyle w:val="64"/>
              <w:rPr>
                <w:rFonts w:ascii="仿宋_GB2312"/>
                <w:szCs w:val="21"/>
              </w:rPr>
            </w:pPr>
            <w:r>
              <w:rPr>
                <w:rFonts w:hint="eastAsia" w:ascii="仿宋_GB2312"/>
                <w:szCs w:val="21"/>
              </w:rPr>
              <w:t>3803.47</w:t>
            </w:r>
          </w:p>
        </w:tc>
        <w:tc>
          <w:tcPr>
            <w:tcW w:w="2370" w:type="dxa"/>
            <w:vAlign w:val="center"/>
          </w:tcPr>
          <w:p>
            <w:pPr>
              <w:pStyle w:val="64"/>
              <w:rPr>
                <w:rFonts w:ascii="仿宋_GB2312"/>
                <w:szCs w:val="21"/>
              </w:rPr>
            </w:pPr>
            <w:r>
              <w:rPr>
                <w:rFonts w:hint="eastAsia" w:ascii="仿宋_GB2312"/>
                <w:szCs w:val="21"/>
              </w:rPr>
              <w:t>2980.57</w:t>
            </w:r>
          </w:p>
        </w:tc>
        <w:tc>
          <w:tcPr>
            <w:tcW w:w="2046" w:type="dxa"/>
            <w:vAlign w:val="center"/>
          </w:tcPr>
          <w:p>
            <w:pPr>
              <w:pStyle w:val="64"/>
              <w:rPr>
                <w:rFonts w:ascii="仿宋_GB2312"/>
                <w:szCs w:val="21"/>
              </w:rPr>
            </w:pPr>
            <w:r>
              <w:rPr>
                <w:rFonts w:hint="eastAsia" w:ascii="仿宋_GB2312"/>
                <w:szCs w:val="21"/>
              </w:rPr>
              <w:t>822.90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6" w:type="dxa"/>
            <w:vAlign w:val="center"/>
          </w:tcPr>
          <w:p>
            <w:pPr>
              <w:pStyle w:val="64"/>
              <w:rPr>
                <w:rFonts w:ascii="仿宋_GB2312"/>
                <w:szCs w:val="21"/>
              </w:rPr>
            </w:pPr>
            <w:r>
              <w:rPr>
                <w:rFonts w:hint="eastAsia" w:ascii="仿宋_GB2312"/>
                <w:szCs w:val="21"/>
              </w:rPr>
              <w:t>新坪镇</w:t>
            </w:r>
          </w:p>
        </w:tc>
        <w:tc>
          <w:tcPr>
            <w:tcW w:w="2004" w:type="dxa"/>
            <w:vAlign w:val="center"/>
          </w:tcPr>
          <w:p>
            <w:pPr>
              <w:pStyle w:val="64"/>
              <w:rPr>
                <w:rFonts w:ascii="仿宋_GB2312"/>
                <w:szCs w:val="21"/>
              </w:rPr>
            </w:pPr>
            <w:r>
              <w:rPr>
                <w:rFonts w:hint="eastAsia" w:ascii="仿宋_GB2312"/>
                <w:szCs w:val="21"/>
              </w:rPr>
              <w:t>10027.01</w:t>
            </w:r>
          </w:p>
        </w:tc>
        <w:tc>
          <w:tcPr>
            <w:tcW w:w="2370" w:type="dxa"/>
            <w:vAlign w:val="center"/>
          </w:tcPr>
          <w:p>
            <w:pPr>
              <w:pStyle w:val="64"/>
              <w:rPr>
                <w:rFonts w:ascii="仿宋_GB2312"/>
                <w:szCs w:val="21"/>
              </w:rPr>
            </w:pPr>
            <w:r>
              <w:rPr>
                <w:rFonts w:hint="eastAsia" w:ascii="仿宋_GB2312"/>
                <w:szCs w:val="21"/>
              </w:rPr>
              <w:t>6210.48</w:t>
            </w:r>
          </w:p>
        </w:tc>
        <w:tc>
          <w:tcPr>
            <w:tcW w:w="2046" w:type="dxa"/>
            <w:vAlign w:val="center"/>
          </w:tcPr>
          <w:p>
            <w:pPr>
              <w:pStyle w:val="64"/>
              <w:rPr>
                <w:rFonts w:ascii="仿宋_GB2312"/>
                <w:szCs w:val="21"/>
              </w:rPr>
            </w:pPr>
            <w:r>
              <w:rPr>
                <w:rFonts w:hint="eastAsia" w:ascii="仿宋_GB2312"/>
                <w:szCs w:val="21"/>
              </w:rPr>
              <w:t>3816.53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6" w:type="dxa"/>
            <w:vAlign w:val="center"/>
          </w:tcPr>
          <w:p>
            <w:pPr>
              <w:pStyle w:val="64"/>
              <w:rPr>
                <w:rFonts w:ascii="仿宋_GB2312"/>
                <w:szCs w:val="21"/>
              </w:rPr>
            </w:pPr>
            <w:r>
              <w:rPr>
                <w:rFonts w:hint="eastAsia" w:ascii="仿宋_GB2312"/>
                <w:szCs w:val="21"/>
              </w:rPr>
              <w:t>杜莫镇</w:t>
            </w:r>
          </w:p>
        </w:tc>
        <w:tc>
          <w:tcPr>
            <w:tcW w:w="2004" w:type="dxa"/>
            <w:vAlign w:val="center"/>
          </w:tcPr>
          <w:p>
            <w:pPr>
              <w:pStyle w:val="64"/>
              <w:rPr>
                <w:rFonts w:ascii="仿宋_GB2312"/>
                <w:szCs w:val="21"/>
              </w:rPr>
            </w:pPr>
            <w:r>
              <w:rPr>
                <w:rFonts w:hint="eastAsia" w:ascii="仿宋_GB2312"/>
                <w:szCs w:val="21"/>
              </w:rPr>
              <w:t>3325.87</w:t>
            </w:r>
          </w:p>
        </w:tc>
        <w:tc>
          <w:tcPr>
            <w:tcW w:w="2370" w:type="dxa"/>
            <w:vAlign w:val="center"/>
          </w:tcPr>
          <w:p>
            <w:pPr>
              <w:pStyle w:val="64"/>
              <w:rPr>
                <w:rFonts w:ascii="仿宋_GB2312"/>
                <w:szCs w:val="21"/>
              </w:rPr>
            </w:pPr>
            <w:r>
              <w:rPr>
                <w:rFonts w:hint="eastAsia" w:ascii="仿宋_GB2312"/>
                <w:szCs w:val="21"/>
              </w:rPr>
              <w:t>2713.67</w:t>
            </w:r>
          </w:p>
        </w:tc>
        <w:tc>
          <w:tcPr>
            <w:tcW w:w="2046" w:type="dxa"/>
            <w:vAlign w:val="center"/>
          </w:tcPr>
          <w:p>
            <w:pPr>
              <w:pStyle w:val="64"/>
              <w:rPr>
                <w:rFonts w:ascii="仿宋_GB2312"/>
                <w:szCs w:val="21"/>
              </w:rPr>
            </w:pPr>
            <w:r>
              <w:rPr>
                <w:rFonts w:hint="eastAsia" w:ascii="仿宋_GB2312"/>
                <w:szCs w:val="21"/>
              </w:rPr>
              <w:t>612.20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6" w:type="dxa"/>
            <w:vAlign w:val="center"/>
          </w:tcPr>
          <w:p>
            <w:pPr>
              <w:pStyle w:val="64"/>
              <w:rPr>
                <w:rFonts w:ascii="仿宋_GB2312"/>
                <w:szCs w:val="21"/>
              </w:rPr>
            </w:pPr>
            <w:r>
              <w:rPr>
                <w:rFonts w:hint="eastAsia" w:ascii="仿宋_GB2312"/>
                <w:szCs w:val="21"/>
              </w:rPr>
              <w:t>青山镇</w:t>
            </w:r>
          </w:p>
        </w:tc>
        <w:tc>
          <w:tcPr>
            <w:tcW w:w="2004" w:type="dxa"/>
            <w:vAlign w:val="center"/>
          </w:tcPr>
          <w:p>
            <w:pPr>
              <w:pStyle w:val="64"/>
              <w:rPr>
                <w:rFonts w:ascii="仿宋_GB2312"/>
                <w:szCs w:val="21"/>
              </w:rPr>
            </w:pPr>
            <w:r>
              <w:rPr>
                <w:rFonts w:hint="eastAsia" w:ascii="仿宋_GB2312"/>
                <w:szCs w:val="21"/>
              </w:rPr>
              <w:t>1078.01</w:t>
            </w:r>
          </w:p>
        </w:tc>
        <w:tc>
          <w:tcPr>
            <w:tcW w:w="2370" w:type="dxa"/>
            <w:vAlign w:val="center"/>
          </w:tcPr>
          <w:p>
            <w:pPr>
              <w:pStyle w:val="64"/>
              <w:rPr>
                <w:rFonts w:ascii="仿宋_GB2312"/>
                <w:szCs w:val="21"/>
              </w:rPr>
            </w:pPr>
            <w:r>
              <w:rPr>
                <w:rFonts w:hint="eastAsia" w:ascii="仿宋_GB2312"/>
                <w:szCs w:val="21"/>
              </w:rPr>
              <w:t>1181.51</w:t>
            </w:r>
          </w:p>
        </w:tc>
        <w:tc>
          <w:tcPr>
            <w:tcW w:w="2046" w:type="dxa"/>
            <w:vAlign w:val="center"/>
          </w:tcPr>
          <w:p>
            <w:pPr>
              <w:pStyle w:val="64"/>
              <w:rPr>
                <w:rFonts w:ascii="仿宋_GB2312"/>
                <w:szCs w:val="21"/>
              </w:rPr>
            </w:pPr>
            <w:r>
              <w:rPr>
                <w:rFonts w:hint="eastAsia" w:ascii="仿宋_GB2312"/>
                <w:szCs w:val="21"/>
              </w:rPr>
              <w:t>-103.50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6" w:type="dxa"/>
            <w:vAlign w:val="center"/>
          </w:tcPr>
          <w:p>
            <w:pPr>
              <w:pStyle w:val="64"/>
              <w:rPr>
                <w:rFonts w:ascii="仿宋_GB2312"/>
                <w:szCs w:val="21"/>
              </w:rPr>
            </w:pPr>
            <w:r>
              <w:rPr>
                <w:rFonts w:hint="eastAsia" w:ascii="仿宋_GB2312"/>
                <w:szCs w:val="21"/>
              </w:rPr>
              <w:t>修仁镇</w:t>
            </w:r>
          </w:p>
        </w:tc>
        <w:tc>
          <w:tcPr>
            <w:tcW w:w="2004" w:type="dxa"/>
            <w:vAlign w:val="center"/>
          </w:tcPr>
          <w:p>
            <w:pPr>
              <w:pStyle w:val="64"/>
              <w:rPr>
                <w:rFonts w:ascii="仿宋_GB2312"/>
                <w:szCs w:val="21"/>
              </w:rPr>
            </w:pPr>
            <w:r>
              <w:rPr>
                <w:rFonts w:hint="eastAsia" w:ascii="仿宋_GB2312"/>
                <w:szCs w:val="21"/>
              </w:rPr>
              <w:t>2793.31</w:t>
            </w:r>
          </w:p>
        </w:tc>
        <w:tc>
          <w:tcPr>
            <w:tcW w:w="2370" w:type="dxa"/>
            <w:vAlign w:val="center"/>
          </w:tcPr>
          <w:p>
            <w:pPr>
              <w:pStyle w:val="64"/>
              <w:rPr>
                <w:rFonts w:ascii="仿宋_GB2312"/>
                <w:szCs w:val="21"/>
              </w:rPr>
            </w:pPr>
            <w:r>
              <w:rPr>
                <w:rFonts w:hint="eastAsia" w:ascii="仿宋_GB2312"/>
                <w:szCs w:val="21"/>
              </w:rPr>
              <w:t>2806.39</w:t>
            </w:r>
          </w:p>
        </w:tc>
        <w:tc>
          <w:tcPr>
            <w:tcW w:w="2046" w:type="dxa"/>
            <w:vAlign w:val="center"/>
          </w:tcPr>
          <w:p>
            <w:pPr>
              <w:pStyle w:val="64"/>
              <w:rPr>
                <w:rFonts w:ascii="仿宋_GB2312"/>
                <w:szCs w:val="21"/>
              </w:rPr>
            </w:pPr>
            <w:r>
              <w:rPr>
                <w:rFonts w:hint="eastAsia" w:ascii="仿宋_GB2312"/>
                <w:szCs w:val="21"/>
              </w:rPr>
              <w:t>-13.08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6" w:type="dxa"/>
            <w:vAlign w:val="center"/>
          </w:tcPr>
          <w:p>
            <w:pPr>
              <w:pStyle w:val="64"/>
              <w:rPr>
                <w:rFonts w:ascii="仿宋_GB2312"/>
                <w:szCs w:val="21"/>
              </w:rPr>
            </w:pPr>
            <w:r>
              <w:rPr>
                <w:rFonts w:hint="eastAsia" w:ascii="仿宋_GB2312"/>
                <w:szCs w:val="21"/>
              </w:rPr>
              <w:t>大塘镇</w:t>
            </w:r>
          </w:p>
        </w:tc>
        <w:tc>
          <w:tcPr>
            <w:tcW w:w="2004" w:type="dxa"/>
            <w:vAlign w:val="center"/>
          </w:tcPr>
          <w:p>
            <w:pPr>
              <w:pStyle w:val="64"/>
              <w:rPr>
                <w:rFonts w:ascii="仿宋_GB2312"/>
                <w:szCs w:val="21"/>
              </w:rPr>
            </w:pPr>
            <w:r>
              <w:rPr>
                <w:rFonts w:hint="eastAsia" w:ascii="仿宋_GB2312"/>
                <w:szCs w:val="21"/>
              </w:rPr>
              <w:t>533.99</w:t>
            </w:r>
          </w:p>
        </w:tc>
        <w:tc>
          <w:tcPr>
            <w:tcW w:w="2370" w:type="dxa"/>
            <w:vAlign w:val="center"/>
          </w:tcPr>
          <w:p>
            <w:pPr>
              <w:pStyle w:val="64"/>
              <w:rPr>
                <w:rFonts w:ascii="仿宋_GB2312"/>
                <w:szCs w:val="21"/>
              </w:rPr>
            </w:pPr>
            <w:r>
              <w:rPr>
                <w:rFonts w:hint="eastAsia" w:ascii="仿宋_GB2312"/>
                <w:szCs w:val="21"/>
              </w:rPr>
              <w:t>332.97</w:t>
            </w:r>
          </w:p>
        </w:tc>
        <w:tc>
          <w:tcPr>
            <w:tcW w:w="2046" w:type="dxa"/>
            <w:vAlign w:val="center"/>
          </w:tcPr>
          <w:p>
            <w:pPr>
              <w:pStyle w:val="64"/>
              <w:rPr>
                <w:rFonts w:ascii="仿宋_GB2312"/>
                <w:szCs w:val="21"/>
              </w:rPr>
            </w:pPr>
            <w:r>
              <w:rPr>
                <w:rFonts w:hint="eastAsia" w:ascii="仿宋_GB2312"/>
                <w:szCs w:val="21"/>
              </w:rPr>
              <w:t>201.02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6" w:type="dxa"/>
            <w:vAlign w:val="center"/>
          </w:tcPr>
          <w:p>
            <w:pPr>
              <w:pStyle w:val="64"/>
              <w:rPr>
                <w:rFonts w:ascii="仿宋_GB2312"/>
                <w:szCs w:val="21"/>
              </w:rPr>
            </w:pPr>
            <w:r>
              <w:rPr>
                <w:rFonts w:hint="eastAsia" w:ascii="仿宋_GB2312"/>
                <w:szCs w:val="21"/>
              </w:rPr>
              <w:t>花</w:t>
            </w:r>
            <w:r>
              <w:rPr>
                <w:rFonts w:hint="eastAsia" w:eastAsia="宋体" w:cs="微软雅黑"/>
                <w:szCs w:val="21"/>
              </w:rPr>
              <w:t>篢</w:t>
            </w:r>
            <w:r>
              <w:rPr>
                <w:rFonts w:hint="eastAsia" w:ascii="仿宋_GB2312" w:hAnsi="仿宋_GB2312" w:cs="仿宋_GB2312"/>
                <w:szCs w:val="21"/>
              </w:rPr>
              <w:t>镇</w:t>
            </w:r>
          </w:p>
        </w:tc>
        <w:tc>
          <w:tcPr>
            <w:tcW w:w="2004" w:type="dxa"/>
            <w:vAlign w:val="center"/>
          </w:tcPr>
          <w:p>
            <w:pPr>
              <w:pStyle w:val="64"/>
              <w:rPr>
                <w:rFonts w:ascii="仿宋_GB2312"/>
                <w:szCs w:val="21"/>
              </w:rPr>
            </w:pPr>
            <w:r>
              <w:rPr>
                <w:rFonts w:hint="eastAsia" w:ascii="仿宋_GB2312"/>
                <w:szCs w:val="21"/>
              </w:rPr>
              <w:t>3985.58</w:t>
            </w:r>
          </w:p>
        </w:tc>
        <w:tc>
          <w:tcPr>
            <w:tcW w:w="2370" w:type="dxa"/>
            <w:vAlign w:val="center"/>
          </w:tcPr>
          <w:p>
            <w:pPr>
              <w:pStyle w:val="64"/>
              <w:rPr>
                <w:rFonts w:ascii="仿宋_GB2312"/>
                <w:szCs w:val="21"/>
              </w:rPr>
            </w:pPr>
            <w:r>
              <w:rPr>
                <w:rFonts w:hint="eastAsia" w:ascii="仿宋_GB2312"/>
                <w:szCs w:val="21"/>
              </w:rPr>
              <w:t>3132.45</w:t>
            </w:r>
          </w:p>
        </w:tc>
        <w:tc>
          <w:tcPr>
            <w:tcW w:w="2046" w:type="dxa"/>
            <w:vAlign w:val="center"/>
          </w:tcPr>
          <w:p>
            <w:pPr>
              <w:pStyle w:val="64"/>
              <w:rPr>
                <w:rFonts w:ascii="仿宋_GB2312"/>
                <w:szCs w:val="21"/>
              </w:rPr>
            </w:pPr>
            <w:r>
              <w:rPr>
                <w:rFonts w:hint="eastAsia" w:ascii="仿宋_GB2312"/>
                <w:szCs w:val="21"/>
              </w:rPr>
              <w:t>853.13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6" w:type="dxa"/>
            <w:vAlign w:val="center"/>
          </w:tcPr>
          <w:p>
            <w:pPr>
              <w:pStyle w:val="64"/>
              <w:rPr>
                <w:rFonts w:ascii="仿宋_GB2312"/>
                <w:szCs w:val="21"/>
              </w:rPr>
            </w:pPr>
            <w:r>
              <w:rPr>
                <w:rFonts w:hint="eastAsia" w:ascii="仿宋_GB2312"/>
                <w:szCs w:val="21"/>
              </w:rPr>
              <w:t>双江镇</w:t>
            </w:r>
          </w:p>
        </w:tc>
        <w:tc>
          <w:tcPr>
            <w:tcW w:w="2004" w:type="dxa"/>
            <w:vAlign w:val="center"/>
          </w:tcPr>
          <w:p>
            <w:pPr>
              <w:pStyle w:val="64"/>
              <w:rPr>
                <w:rFonts w:ascii="仿宋_GB2312"/>
                <w:szCs w:val="21"/>
              </w:rPr>
            </w:pPr>
            <w:r>
              <w:rPr>
                <w:rFonts w:hint="eastAsia" w:ascii="仿宋_GB2312"/>
                <w:szCs w:val="21"/>
              </w:rPr>
              <w:t>4335.83</w:t>
            </w:r>
          </w:p>
        </w:tc>
        <w:tc>
          <w:tcPr>
            <w:tcW w:w="2370" w:type="dxa"/>
            <w:vAlign w:val="center"/>
          </w:tcPr>
          <w:p>
            <w:pPr>
              <w:pStyle w:val="64"/>
              <w:rPr>
                <w:rFonts w:ascii="仿宋_GB2312"/>
                <w:szCs w:val="21"/>
              </w:rPr>
            </w:pPr>
            <w:r>
              <w:rPr>
                <w:rFonts w:hint="eastAsia" w:ascii="仿宋_GB2312"/>
                <w:szCs w:val="21"/>
              </w:rPr>
              <w:t>3159.15</w:t>
            </w:r>
          </w:p>
        </w:tc>
        <w:tc>
          <w:tcPr>
            <w:tcW w:w="2046" w:type="dxa"/>
            <w:vAlign w:val="center"/>
          </w:tcPr>
          <w:p>
            <w:pPr>
              <w:pStyle w:val="64"/>
              <w:rPr>
                <w:rFonts w:ascii="仿宋_GB2312"/>
                <w:szCs w:val="21"/>
              </w:rPr>
            </w:pPr>
            <w:r>
              <w:rPr>
                <w:rFonts w:hint="eastAsia" w:ascii="仿宋_GB2312"/>
                <w:szCs w:val="21"/>
              </w:rPr>
              <w:t>1176.68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6" w:type="dxa"/>
            <w:vAlign w:val="center"/>
          </w:tcPr>
          <w:p>
            <w:pPr>
              <w:pStyle w:val="64"/>
              <w:rPr>
                <w:rFonts w:ascii="仿宋_GB2312"/>
                <w:szCs w:val="21"/>
              </w:rPr>
            </w:pPr>
            <w:r>
              <w:rPr>
                <w:rFonts w:hint="eastAsia" w:ascii="仿宋_GB2312"/>
                <w:szCs w:val="21"/>
              </w:rPr>
              <w:t>马岭镇</w:t>
            </w:r>
          </w:p>
        </w:tc>
        <w:tc>
          <w:tcPr>
            <w:tcW w:w="2004" w:type="dxa"/>
            <w:vAlign w:val="center"/>
          </w:tcPr>
          <w:p>
            <w:pPr>
              <w:pStyle w:val="64"/>
              <w:rPr>
                <w:rFonts w:ascii="仿宋_GB2312"/>
                <w:szCs w:val="21"/>
              </w:rPr>
            </w:pPr>
            <w:r>
              <w:rPr>
                <w:rFonts w:hint="eastAsia" w:ascii="仿宋_GB2312"/>
                <w:szCs w:val="21"/>
              </w:rPr>
              <w:t>1805.36</w:t>
            </w:r>
          </w:p>
        </w:tc>
        <w:tc>
          <w:tcPr>
            <w:tcW w:w="2370" w:type="dxa"/>
            <w:vAlign w:val="center"/>
          </w:tcPr>
          <w:p>
            <w:pPr>
              <w:pStyle w:val="64"/>
              <w:rPr>
                <w:rFonts w:ascii="仿宋_GB2312"/>
                <w:szCs w:val="21"/>
              </w:rPr>
            </w:pPr>
            <w:r>
              <w:rPr>
                <w:rFonts w:hint="eastAsia" w:ascii="仿宋_GB2312"/>
                <w:szCs w:val="21"/>
              </w:rPr>
              <w:t>1598.95</w:t>
            </w:r>
          </w:p>
        </w:tc>
        <w:tc>
          <w:tcPr>
            <w:tcW w:w="2046" w:type="dxa"/>
            <w:vAlign w:val="center"/>
          </w:tcPr>
          <w:p>
            <w:pPr>
              <w:pStyle w:val="64"/>
              <w:rPr>
                <w:rFonts w:ascii="仿宋_GB2312"/>
                <w:szCs w:val="21"/>
              </w:rPr>
            </w:pPr>
            <w:r>
              <w:rPr>
                <w:rFonts w:hint="eastAsia" w:ascii="仿宋_GB2312"/>
                <w:szCs w:val="21"/>
              </w:rPr>
              <w:t>206.41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6" w:type="dxa"/>
            <w:vAlign w:val="center"/>
          </w:tcPr>
          <w:p>
            <w:pPr>
              <w:pStyle w:val="64"/>
              <w:rPr>
                <w:rFonts w:ascii="仿宋_GB2312"/>
                <w:szCs w:val="21"/>
              </w:rPr>
            </w:pPr>
            <w:r>
              <w:rPr>
                <w:rFonts w:hint="eastAsia" w:ascii="仿宋_GB2312"/>
                <w:szCs w:val="21"/>
              </w:rPr>
              <w:t>龙怀乡</w:t>
            </w:r>
          </w:p>
        </w:tc>
        <w:tc>
          <w:tcPr>
            <w:tcW w:w="2004" w:type="dxa"/>
            <w:vAlign w:val="center"/>
          </w:tcPr>
          <w:p>
            <w:pPr>
              <w:pStyle w:val="64"/>
              <w:rPr>
                <w:rFonts w:ascii="仿宋_GB2312"/>
                <w:szCs w:val="21"/>
              </w:rPr>
            </w:pPr>
            <w:r>
              <w:rPr>
                <w:rFonts w:hint="eastAsia" w:ascii="仿宋_GB2312"/>
                <w:szCs w:val="21"/>
              </w:rPr>
              <w:t>4673.61</w:t>
            </w:r>
          </w:p>
        </w:tc>
        <w:tc>
          <w:tcPr>
            <w:tcW w:w="2370" w:type="dxa"/>
            <w:vAlign w:val="center"/>
          </w:tcPr>
          <w:p>
            <w:pPr>
              <w:pStyle w:val="64"/>
              <w:rPr>
                <w:rFonts w:ascii="仿宋_GB2312"/>
                <w:szCs w:val="21"/>
              </w:rPr>
            </w:pPr>
            <w:r>
              <w:rPr>
                <w:rFonts w:hint="eastAsia" w:ascii="仿宋_GB2312"/>
                <w:szCs w:val="21"/>
              </w:rPr>
              <w:t>3952.38</w:t>
            </w:r>
          </w:p>
        </w:tc>
        <w:tc>
          <w:tcPr>
            <w:tcW w:w="2046" w:type="dxa"/>
            <w:vAlign w:val="center"/>
          </w:tcPr>
          <w:p>
            <w:pPr>
              <w:pStyle w:val="64"/>
              <w:rPr>
                <w:rFonts w:ascii="仿宋_GB2312"/>
                <w:szCs w:val="21"/>
              </w:rPr>
            </w:pPr>
            <w:r>
              <w:rPr>
                <w:rFonts w:hint="eastAsia" w:ascii="仿宋_GB2312"/>
                <w:szCs w:val="21"/>
              </w:rPr>
              <w:t>721.23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6" w:type="dxa"/>
            <w:vAlign w:val="center"/>
          </w:tcPr>
          <w:p>
            <w:pPr>
              <w:pStyle w:val="64"/>
              <w:rPr>
                <w:rFonts w:ascii="仿宋_GB2312"/>
                <w:szCs w:val="21"/>
              </w:rPr>
            </w:pPr>
            <w:r>
              <w:rPr>
                <w:rFonts w:hint="eastAsia" w:ascii="仿宋_GB2312"/>
                <w:szCs w:val="21"/>
              </w:rPr>
              <w:t>茶城乡</w:t>
            </w:r>
          </w:p>
        </w:tc>
        <w:tc>
          <w:tcPr>
            <w:tcW w:w="2004" w:type="dxa"/>
            <w:vAlign w:val="center"/>
          </w:tcPr>
          <w:p>
            <w:pPr>
              <w:pStyle w:val="64"/>
              <w:rPr>
                <w:rFonts w:ascii="仿宋_GB2312"/>
                <w:szCs w:val="21"/>
              </w:rPr>
            </w:pPr>
            <w:r>
              <w:rPr>
                <w:rFonts w:hint="eastAsia" w:ascii="仿宋_GB2312"/>
                <w:szCs w:val="21"/>
              </w:rPr>
              <w:t>2044.46</w:t>
            </w:r>
          </w:p>
        </w:tc>
        <w:tc>
          <w:tcPr>
            <w:tcW w:w="2370" w:type="dxa"/>
            <w:vAlign w:val="center"/>
          </w:tcPr>
          <w:p>
            <w:pPr>
              <w:pStyle w:val="64"/>
              <w:rPr>
                <w:rFonts w:ascii="仿宋_GB2312"/>
                <w:szCs w:val="21"/>
              </w:rPr>
            </w:pPr>
            <w:r>
              <w:rPr>
                <w:rFonts w:hint="eastAsia" w:ascii="仿宋_GB2312"/>
                <w:szCs w:val="21"/>
              </w:rPr>
              <w:t>1062.95</w:t>
            </w:r>
          </w:p>
        </w:tc>
        <w:tc>
          <w:tcPr>
            <w:tcW w:w="2046" w:type="dxa"/>
            <w:vAlign w:val="center"/>
          </w:tcPr>
          <w:p>
            <w:pPr>
              <w:pStyle w:val="64"/>
              <w:rPr>
                <w:rFonts w:ascii="仿宋_GB2312"/>
                <w:szCs w:val="21"/>
              </w:rPr>
            </w:pPr>
            <w:r>
              <w:rPr>
                <w:rFonts w:hint="eastAsia" w:ascii="仿宋_GB2312"/>
                <w:szCs w:val="21"/>
              </w:rPr>
              <w:t>981.51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6" w:type="dxa"/>
            <w:vAlign w:val="center"/>
          </w:tcPr>
          <w:p>
            <w:pPr>
              <w:pStyle w:val="64"/>
              <w:rPr>
                <w:rFonts w:ascii="仿宋_GB2312"/>
                <w:szCs w:val="21"/>
              </w:rPr>
            </w:pPr>
            <w:r>
              <w:rPr>
                <w:rFonts w:hint="eastAsia" w:ascii="仿宋_GB2312"/>
                <w:szCs w:val="21"/>
              </w:rPr>
              <w:t>蒲芦瑶族乡</w:t>
            </w:r>
          </w:p>
        </w:tc>
        <w:tc>
          <w:tcPr>
            <w:tcW w:w="2004" w:type="dxa"/>
            <w:vAlign w:val="center"/>
          </w:tcPr>
          <w:p>
            <w:pPr>
              <w:pStyle w:val="64"/>
              <w:rPr>
                <w:rFonts w:ascii="仿宋_GB2312"/>
                <w:szCs w:val="21"/>
              </w:rPr>
            </w:pPr>
            <w:r>
              <w:rPr>
                <w:rFonts w:hint="eastAsia" w:ascii="仿宋_GB2312"/>
                <w:szCs w:val="21"/>
              </w:rPr>
              <w:t>18924.39</w:t>
            </w:r>
          </w:p>
        </w:tc>
        <w:tc>
          <w:tcPr>
            <w:tcW w:w="2370" w:type="dxa"/>
            <w:vAlign w:val="center"/>
          </w:tcPr>
          <w:p>
            <w:pPr>
              <w:pStyle w:val="64"/>
              <w:rPr>
                <w:rFonts w:ascii="仿宋_GB2312"/>
                <w:szCs w:val="21"/>
              </w:rPr>
            </w:pPr>
            <w:r>
              <w:rPr>
                <w:rFonts w:hint="eastAsia" w:ascii="仿宋_GB2312"/>
                <w:szCs w:val="21"/>
              </w:rPr>
              <w:t>17601.46</w:t>
            </w:r>
          </w:p>
        </w:tc>
        <w:tc>
          <w:tcPr>
            <w:tcW w:w="2046" w:type="dxa"/>
            <w:vAlign w:val="center"/>
          </w:tcPr>
          <w:p>
            <w:pPr>
              <w:pStyle w:val="64"/>
              <w:rPr>
                <w:rFonts w:ascii="仿宋_GB2312"/>
                <w:szCs w:val="21"/>
              </w:rPr>
            </w:pPr>
            <w:r>
              <w:rPr>
                <w:rFonts w:hint="eastAsia" w:ascii="仿宋_GB2312"/>
                <w:szCs w:val="21"/>
              </w:rPr>
              <w:t>1322.93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6" w:type="dxa"/>
            <w:vAlign w:val="center"/>
          </w:tcPr>
          <w:p>
            <w:pPr>
              <w:pStyle w:val="64"/>
              <w:rPr>
                <w:rFonts w:ascii="仿宋_GB2312"/>
                <w:szCs w:val="21"/>
              </w:rPr>
            </w:pPr>
            <w:r>
              <w:rPr>
                <w:rFonts w:hint="eastAsia" w:ascii="仿宋_GB2312"/>
                <w:szCs w:val="21"/>
              </w:rPr>
              <w:t>合计</w:t>
            </w:r>
          </w:p>
        </w:tc>
        <w:tc>
          <w:tcPr>
            <w:tcW w:w="2004" w:type="dxa"/>
            <w:vAlign w:val="center"/>
          </w:tcPr>
          <w:p>
            <w:pPr>
              <w:pStyle w:val="64"/>
              <w:rPr>
                <w:rFonts w:ascii="仿宋_GB2312"/>
                <w:szCs w:val="21"/>
              </w:rPr>
            </w:pPr>
            <w:r>
              <w:rPr>
                <w:rFonts w:hint="eastAsia" w:ascii="仿宋_GB2312"/>
                <w:szCs w:val="21"/>
              </w:rPr>
              <w:t>58393.66</w:t>
            </w:r>
          </w:p>
        </w:tc>
        <w:tc>
          <w:tcPr>
            <w:tcW w:w="2370" w:type="dxa"/>
            <w:vAlign w:val="center"/>
          </w:tcPr>
          <w:p>
            <w:pPr>
              <w:pStyle w:val="64"/>
              <w:rPr>
                <w:rFonts w:ascii="仿宋_GB2312"/>
                <w:szCs w:val="21"/>
              </w:rPr>
            </w:pPr>
            <w:r>
              <w:rPr>
                <w:rFonts w:hint="eastAsia" w:ascii="仿宋_GB2312"/>
                <w:szCs w:val="21"/>
              </w:rPr>
              <w:t>47175.76</w:t>
            </w:r>
          </w:p>
        </w:tc>
        <w:tc>
          <w:tcPr>
            <w:tcW w:w="2046" w:type="dxa"/>
            <w:vAlign w:val="center"/>
          </w:tcPr>
          <w:p>
            <w:pPr>
              <w:pStyle w:val="64"/>
              <w:rPr>
                <w:rFonts w:ascii="仿宋_GB2312"/>
                <w:szCs w:val="21"/>
              </w:rPr>
            </w:pPr>
            <w:r>
              <w:rPr>
                <w:rFonts w:hint="eastAsia" w:ascii="仿宋_GB2312"/>
                <w:szCs w:val="21"/>
              </w:rPr>
              <w:t>11217.90</w:t>
            </w:r>
          </w:p>
        </w:tc>
      </w:tr>
    </w:tbl>
    <w:p>
      <w:pPr>
        <w:pStyle w:val="4"/>
        <w:numPr>
          <w:ilvl w:val="0"/>
          <w:numId w:val="17"/>
        </w:numPr>
        <w:ind w:firstLineChars="0"/>
      </w:pPr>
      <w:r>
        <w:rPr>
          <w:rFonts w:hint="eastAsia"/>
        </w:rPr>
        <w:t>城镇开发边界划定</w:t>
      </w:r>
    </w:p>
    <w:p>
      <w:pPr>
        <w:pStyle w:val="48"/>
        <w:ind w:firstLine="640"/>
        <w:rPr>
          <w:rFonts w:ascii="仿宋_GB2312"/>
        </w:rPr>
      </w:pPr>
      <w:r>
        <w:rPr>
          <w:rFonts w:hint="eastAsia" w:ascii="仿宋_GB2312"/>
        </w:rPr>
        <w:t>依据资源环境承载能力和国土空间开发适宜性评价结果，以城镇适宜空间为基础，充分尊重自然地理格局，统筹发展和安全，统筹农业、生态、城镇空间布局;坚持反向约束与正向约束相结合，避让资源环境底线、灾害风险、历史文化保护等限制性因素，守好底线。</w:t>
      </w:r>
    </w:p>
    <w:p>
      <w:pPr>
        <w:pStyle w:val="5"/>
        <w:numPr>
          <w:ilvl w:val="0"/>
          <w:numId w:val="20"/>
        </w:numPr>
        <w:spacing w:before="0"/>
        <w:ind w:firstLine="640"/>
        <w:rPr>
          <w:rFonts w:ascii="楷体_GB2312" w:eastAsia="楷体_GB2312"/>
        </w:rPr>
      </w:pPr>
      <w:r>
        <w:rPr>
          <w:rFonts w:hint="eastAsia" w:ascii="楷体_GB2312" w:eastAsia="楷体_GB2312"/>
        </w:rPr>
        <w:t>设置正向约束</w:t>
      </w:r>
    </w:p>
    <w:p>
      <w:pPr>
        <w:pStyle w:val="48"/>
        <w:ind w:firstLine="640"/>
        <w:rPr>
          <w:rFonts w:ascii="仿宋_GB2312"/>
        </w:rPr>
      </w:pPr>
      <w:r>
        <w:rPr>
          <w:rFonts w:hint="eastAsia" w:ascii="楷体" w:hAnsi="楷体" w:eastAsia="楷体" w:cstheme="minorBidi"/>
        </w:rPr>
        <w:t>城镇开发边界系数合理。</w:t>
      </w:r>
      <w:r>
        <w:rPr>
          <w:rFonts w:hint="eastAsia" w:ascii="仿宋_GB2312"/>
        </w:rPr>
        <w:t>充分尊重自然地理格局和城镇发展规律，发挥耕地和永久基本农田、生态保护红线对城市“摊大饼”式扩张的阻隔作用，严格按照国家要求划定城镇开发边界。切实守住自然生态安全边界，避让各类安全底线和不适宜城镇建设区域。人均城镇建设用地远超国家标准的城市、近十年常住人口减少的乡镇，城镇开发边界面积一般为2020年现状城镇建设用地规模的1.1倍以内，其他城市一般为1.3倍以内，如超过以上系数的要有足够的合理性论证。在城镇开发边界内,城镇集中建设区的新增建设用地规模不得超过上级下达的新增城镇建设用地规模。应千方百计配准用好增量，积极盘活存量,用活用足流量，多渠道拓展建设用地供给。</w:t>
      </w:r>
    </w:p>
    <w:p>
      <w:pPr>
        <w:pStyle w:val="48"/>
        <w:ind w:firstLine="640"/>
      </w:pPr>
      <w:r>
        <w:rPr>
          <w:rFonts w:hint="eastAsia" w:ascii="楷体" w:hAnsi="楷体" w:eastAsia="楷体" w:cstheme="minorBidi"/>
        </w:rPr>
        <w:t>城镇开发边界形态完整。</w:t>
      </w:r>
      <w:r>
        <w:rPr>
          <w:rFonts w:hint="eastAsia" w:ascii="仿宋_GB2312"/>
        </w:rPr>
        <w:t>结合国土空间规划基数转换成果，集中连片的现状城镇建设用地、已批未建城镇存量建设用地及规划城镇建设用地应统筹划入城镇开发边界集中建设区。必须依托原材料产地或因邻避需要对选址有特殊要求的零星建设项目用地等,可不划入城镇开发边界，但应控制规模并充分考虑土地征收的需要。</w:t>
      </w:r>
    </w:p>
    <w:p>
      <w:pPr>
        <w:pStyle w:val="48"/>
        <w:ind w:firstLine="640"/>
        <w:rPr>
          <w:rFonts w:ascii="仿宋_GB2312"/>
        </w:rPr>
      </w:pPr>
      <w:r>
        <w:rPr>
          <w:rFonts w:hint="eastAsia" w:ascii="楷体" w:hAnsi="楷体" w:eastAsia="楷体" w:cstheme="minorBidi"/>
        </w:rPr>
        <w:t>城镇开发边界明晰易识别。</w:t>
      </w:r>
      <w:r>
        <w:rPr>
          <w:rFonts w:hint="eastAsia" w:ascii="仿宋_GB2312"/>
        </w:rPr>
        <w:t>充分利用国家有关基础调查明确的边界，河流、山川以及铁路、道路、机场、高压走廊等各类自然地理和地物边界、行政管辖边界等,将城镇开发边界落到实地，形态尽可能完整，便于识别、监管和监督。城镇开发边界划定要与开敞空间系统、重要廊道和节点塑造，城市风貌、环境品质、历史人文等保护提升有机结合起来，有利于塑造具有特色和比较优势的国土空间总体格局和空间形态，提高国土空间的舒适性、艺术性,提升国土空间品质和价值。</w:t>
      </w:r>
    </w:p>
    <w:p>
      <w:pPr>
        <w:pStyle w:val="5"/>
        <w:numPr>
          <w:ilvl w:val="0"/>
          <w:numId w:val="20"/>
        </w:numPr>
        <w:spacing w:before="0" w:after="0"/>
        <w:ind w:firstLine="640"/>
        <w:rPr>
          <w:rFonts w:ascii="楷体_GB2312" w:eastAsia="楷体_GB2312"/>
        </w:rPr>
      </w:pPr>
      <w:r>
        <w:rPr>
          <w:rFonts w:hint="eastAsia" w:ascii="楷体_GB2312" w:eastAsia="楷体_GB2312"/>
        </w:rPr>
        <w:t>强化反向约束</w:t>
      </w:r>
    </w:p>
    <w:p>
      <w:pPr>
        <w:pStyle w:val="48"/>
        <w:ind w:firstLine="640"/>
        <w:rPr>
          <w:rFonts w:ascii="仿宋_GB2312"/>
        </w:rPr>
      </w:pPr>
      <w:r>
        <w:rPr>
          <w:rFonts w:hint="eastAsia" w:ascii="仿宋_GB2312"/>
        </w:rPr>
        <w:t>守住自然生态安全边界，避让重要山体山脉、河流湖泊、湿地、天然林草场、海岸线等,识别并保护蓝绿网络空间和开敞空间。</w:t>
      </w:r>
    </w:p>
    <w:p>
      <w:pPr>
        <w:pStyle w:val="48"/>
        <w:ind w:firstLine="640"/>
        <w:rPr>
          <w:rFonts w:ascii="仿宋_GB2312"/>
        </w:rPr>
      </w:pPr>
      <w:r>
        <w:rPr>
          <w:rFonts w:hint="eastAsia" w:ascii="仿宋_GB2312"/>
        </w:rPr>
        <w:t>基于“双评价”城镇适宜空间，落实耕地和永久基本农田保护目标任务、生态保护红线划定方案，避让连片优质耕地及关键农业区等重要农业空间;避让已有政策法规明确禁止或限制人为活动的国家公园、自然保护区、自然公园、生态公益林、饮用水水源保护区、风景名胜区、关键生态区等重要生态空间。</w:t>
      </w:r>
    </w:p>
    <w:p>
      <w:pPr>
        <w:pStyle w:val="48"/>
        <w:ind w:firstLine="640"/>
        <w:rPr>
          <w:rFonts w:ascii="仿宋_GB2312"/>
        </w:rPr>
      </w:pPr>
      <w:r>
        <w:rPr>
          <w:rFonts w:hint="eastAsia" w:ascii="仿宋_GB2312"/>
        </w:rPr>
        <w:t>避让地质灾害极高和高风险区、蓄滞洪区、地震断裂带、洪涝风险易发区、采煤塌陷区、尾矿库、重要矿产资源压覆区、油井密集区、邻避设施、土壤严重污染且未达到修复目标等不适宜城镇建设区域,确实无法避让的应当充分论证并说明理由，明确减缓不良影响的措施。</w:t>
      </w:r>
    </w:p>
    <w:p>
      <w:pPr>
        <w:pStyle w:val="48"/>
        <w:ind w:firstLine="640"/>
        <w:rPr>
          <w:rFonts w:ascii="仿宋_GB2312"/>
        </w:rPr>
      </w:pPr>
      <w:r>
        <w:rPr>
          <w:rFonts w:hint="eastAsia" w:ascii="仿宋_GB2312"/>
        </w:rPr>
        <w:t>避让大遗址保护区和地下文物埋藏区。与历史城区、历史文化街区、历史建筑、历史文化名镇名村、传统村落等做好衔接。</w:t>
      </w:r>
    </w:p>
    <w:p>
      <w:pPr>
        <w:pStyle w:val="48"/>
        <w:ind w:firstLine="640"/>
        <w:rPr>
          <w:rFonts w:ascii="仿宋_GB2312"/>
        </w:rPr>
      </w:pPr>
      <w:r>
        <w:rPr>
          <w:rFonts w:hint="eastAsia" w:ascii="仿宋_GB2312"/>
        </w:rPr>
        <w:t>贯彻“以水定城、以水定地、以水定人、以水定产”的原则,根据水资源约束底线和利用上限,控制新增建设用地规模，引导人口、产业和用地合理布局，确保城镇建设用地规模不超出上级下达的用水总量可承载的城镇人口和用地最大上限。</w:t>
      </w:r>
    </w:p>
    <w:p>
      <w:pPr>
        <w:pStyle w:val="48"/>
        <w:ind w:firstLine="640"/>
        <w:rPr>
          <w:rFonts w:ascii="仿宋_GB2312"/>
        </w:rPr>
      </w:pPr>
      <w:r>
        <w:rPr>
          <w:rFonts w:hint="eastAsia" w:ascii="仿宋_GB2312"/>
        </w:rPr>
        <w:t>基于“双评价”，充分考虑各类限制性因素，测算新增城乡建设用地潜力。</w:t>
      </w:r>
    </w:p>
    <w:p>
      <w:pPr>
        <w:pStyle w:val="5"/>
        <w:numPr>
          <w:ilvl w:val="0"/>
          <w:numId w:val="20"/>
        </w:numPr>
        <w:spacing w:before="0" w:after="0"/>
        <w:ind w:firstLine="640"/>
        <w:rPr>
          <w:rFonts w:ascii="楷体_GB2312" w:eastAsia="楷体_GB2312"/>
        </w:rPr>
      </w:pPr>
      <w:r>
        <w:rPr>
          <w:rFonts w:hint="eastAsia" w:ascii="楷体_GB2312" w:eastAsia="楷体_GB2312"/>
        </w:rPr>
        <w:t>划定结果</w:t>
      </w:r>
    </w:p>
    <w:p>
      <w:pPr>
        <w:pStyle w:val="48"/>
        <w:ind w:firstLine="640"/>
        <w:rPr>
          <w:rFonts w:ascii="仿宋_GB2312"/>
        </w:rPr>
      </w:pPr>
      <w:r>
        <w:rPr>
          <w:rFonts w:hint="eastAsia" w:ascii="仿宋_GB2312"/>
        </w:rPr>
        <w:t>根据桂林市下达荔浦市城镇开发边界扩展系数为1.20，增量规模为349.96公顷。划定后，荔浦市城镇开发规模为2799.36公顷，其中新增城镇建设用地规模为349.96公顷，是现状城镇建设用地的1.20倍，未突破上级下达控制数。</w:t>
      </w:r>
    </w:p>
    <w:p>
      <w:pPr>
        <w:ind w:firstLine="640"/>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cols w:space="425" w:num="1"/>
          <w:docGrid w:type="lines" w:linePitch="326" w:charSpace="0"/>
        </w:sectPr>
      </w:pPr>
    </w:p>
    <w:p>
      <w:pPr>
        <w:pStyle w:val="2"/>
        <w:ind w:left="0" w:firstLine="720" w:firstLineChars="200"/>
        <w:rPr>
          <w:rFonts w:ascii="方正小标宋_GBK" w:eastAsia="方正小标宋_GBK"/>
          <w:b w:val="0"/>
          <w:bCs w:val="0"/>
          <w:sz w:val="36"/>
          <w:szCs w:val="36"/>
        </w:rPr>
      </w:pPr>
      <w:bookmarkStart w:id="16" w:name="_Toc157018462"/>
      <w:r>
        <w:rPr>
          <w:rFonts w:hint="eastAsia" w:ascii="方正小标宋_GBK" w:eastAsia="方正小标宋_GBK"/>
          <w:b w:val="0"/>
          <w:bCs w:val="0"/>
          <w:sz w:val="36"/>
          <w:szCs w:val="36"/>
        </w:rPr>
        <w:t>规划成果重点内容说明</w:t>
      </w:r>
      <w:bookmarkEnd w:id="16"/>
    </w:p>
    <w:p>
      <w:pPr>
        <w:pStyle w:val="3"/>
        <w:numPr>
          <w:ilvl w:val="0"/>
          <w:numId w:val="21"/>
        </w:numPr>
        <w:ind w:left="0" w:firstLine="643" w:firstLineChars="200"/>
      </w:pPr>
      <w:bookmarkStart w:id="17" w:name="_Toc157018463"/>
      <w:r>
        <w:rPr>
          <w:rFonts w:hint="eastAsia"/>
        </w:rPr>
        <w:t>国家、自治区及区域重大战略和规划落实情况</w:t>
      </w:r>
      <w:bookmarkEnd w:id="17"/>
    </w:p>
    <w:p>
      <w:pPr>
        <w:pStyle w:val="4"/>
        <w:numPr>
          <w:ilvl w:val="0"/>
          <w:numId w:val="22"/>
        </w:numPr>
        <w:ind w:left="0" w:firstLine="640"/>
      </w:pPr>
      <w:r>
        <w:rPr>
          <w:rFonts w:hint="eastAsia"/>
        </w:rPr>
        <w:t>落实中央和国家的要求</w:t>
      </w:r>
    </w:p>
    <w:p>
      <w:pPr>
        <w:pStyle w:val="48"/>
        <w:ind w:firstLine="640"/>
        <w:rPr>
          <w:rFonts w:ascii="仿宋_GB2312"/>
        </w:rPr>
      </w:pPr>
      <w:r>
        <w:rPr>
          <w:rFonts w:hint="eastAsia" w:ascii="仿宋_GB2312"/>
        </w:rPr>
        <w:t>中央精神和国家要求层面。2021年3月，《中华人民共和国国民经济和社会发展第十四个五年规划和2035年远景目标纲要》提出以促进城市群发展为抓手，全面形成“两横三纵”的城镇化战略格局。</w:t>
      </w:r>
    </w:p>
    <w:p>
      <w:pPr>
        <w:pStyle w:val="48"/>
        <w:ind w:firstLine="640"/>
        <w:rPr>
          <w:rFonts w:ascii="仿宋_GB2312"/>
        </w:rPr>
      </w:pPr>
      <w:r>
        <w:rPr>
          <w:rFonts w:hint="eastAsia" w:ascii="仿宋_GB2312"/>
        </w:rPr>
        <w:t>深入贯彻落实习近平总书记对广西重大方略要求，为强化国家发展规划的统领作用，全面落实国家发展战略和重大决策部署，充分衔接国家层面对县级空间发展的战略性安排，全面落实了《中华人民共和国国民经济和社会发展第十四个五年规划和二〇三五年远景目标纲要》《全国国土空间规划纲要（2021—2035 年）》等政策文件和上位规划，衔接了国家发展改革委、自然资源部、农业农村部、交通运输部等部门编制的相关规划。</w:t>
      </w:r>
    </w:p>
    <w:p>
      <w:pPr>
        <w:pStyle w:val="4"/>
        <w:numPr>
          <w:ilvl w:val="0"/>
          <w:numId w:val="22"/>
        </w:numPr>
        <w:ind w:left="0" w:firstLine="640"/>
      </w:pPr>
      <w:r>
        <w:rPr>
          <w:rFonts w:hint="eastAsia"/>
        </w:rPr>
        <w:t>落实自治区和桂林市重大战略和规划的情况</w:t>
      </w:r>
    </w:p>
    <w:p>
      <w:pPr>
        <w:pStyle w:val="5"/>
        <w:numPr>
          <w:ilvl w:val="0"/>
          <w:numId w:val="23"/>
        </w:numPr>
        <w:spacing w:before="0" w:after="0"/>
        <w:ind w:left="0" w:firstLine="641"/>
        <w:rPr>
          <w:rFonts w:ascii="楷体_GB2312" w:eastAsia="楷体_GB2312"/>
        </w:rPr>
      </w:pPr>
      <w:r>
        <w:rPr>
          <w:rFonts w:hint="eastAsia" w:ascii="楷体_GB2312" w:eastAsia="楷体_GB2312"/>
        </w:rPr>
        <w:t>发展定位</w:t>
      </w:r>
    </w:p>
    <w:p>
      <w:pPr>
        <w:pStyle w:val="89"/>
        <w:ind w:firstLine="640"/>
        <w:rPr>
          <w:rFonts w:ascii="仿宋_GB2312"/>
        </w:rPr>
      </w:pPr>
      <w:r>
        <w:rPr>
          <w:rFonts w:hint="eastAsia" w:ascii="仿宋_GB2312"/>
        </w:rPr>
        <w:t>2021年4月，《广西壮族自治区国民经济和社会发展第十四个五年规划和2035年远景目标纲要》提出，升级发展桂林国际旅游胜地，围绕建设世界一流国际旅游胜地目标，加快推进“六个一流”重大工程。加快建设全国旅游创新发展先行区和国家健康旅游示范基地，打造国际旅游目的地。《广西壮族自治区国土空间规划（2021—2035年）》（以下称《自治区规划》）对桂林市提出的重点发展指引，即“国际旅游胜地、国家综合交通枢纽、国家历史文化名城、自治区副中心城市”。</w:t>
      </w:r>
    </w:p>
    <w:p>
      <w:pPr>
        <w:pStyle w:val="89"/>
        <w:ind w:firstLine="640"/>
        <w:rPr>
          <w:rFonts w:ascii="仿宋_GB2312"/>
        </w:rPr>
      </w:pPr>
      <w:r>
        <w:rPr>
          <w:rFonts w:hint="eastAsia" w:ascii="仿宋_GB2312"/>
        </w:rPr>
        <w:t>《规划》全面落实了《桂林市国土空间总体规划（2021-2035年）》（以下称《桂林市规划》）等规划在空间格局、产业发展、城镇体系等方面对荔浦市提出的要求。《桂林市规划》对荔浦市定位为“南部副中心”，即发展为桂林市南部副中心，区域交通枢纽，综合服务型城市，重点发展衣架家具、食品药品和光电科技等产业。</w:t>
      </w:r>
    </w:p>
    <w:p>
      <w:pPr>
        <w:pStyle w:val="89"/>
        <w:ind w:firstLine="640"/>
        <w:rPr>
          <w:rFonts w:ascii="仿宋_GB2312"/>
        </w:rPr>
      </w:pPr>
      <w:r>
        <w:rPr>
          <w:rFonts w:hint="eastAsia" w:ascii="仿宋_GB2312"/>
        </w:rPr>
        <w:t>《规划》落实以上相关要求，确定了将荔浦市打造成为桂林南部副中心城市、区域交通枢纽城市的发展定位。</w:t>
      </w:r>
    </w:p>
    <w:p>
      <w:pPr>
        <w:pStyle w:val="5"/>
        <w:numPr>
          <w:ilvl w:val="0"/>
          <w:numId w:val="23"/>
        </w:numPr>
        <w:spacing w:before="0" w:after="0"/>
        <w:ind w:left="0" w:firstLine="641"/>
        <w:rPr>
          <w:rFonts w:ascii="楷体_GB2312" w:eastAsia="楷体_GB2312"/>
        </w:rPr>
      </w:pPr>
      <w:r>
        <w:rPr>
          <w:rFonts w:hint="eastAsia" w:ascii="楷体_GB2312" w:eastAsia="楷体_GB2312"/>
        </w:rPr>
        <w:t>主体功能区战略</w:t>
      </w:r>
    </w:p>
    <w:p>
      <w:pPr>
        <w:ind w:firstLine="640"/>
        <w:rPr>
          <w:rFonts w:ascii="仿宋_GB2312"/>
        </w:rPr>
      </w:pPr>
      <w:r>
        <w:rPr>
          <w:rFonts w:hint="eastAsia" w:ascii="仿宋_GB2312"/>
        </w:rPr>
        <w:t>《广西壮族自治区国土空间规划（2021—2035年）》和《桂林市国土空间总体规划（2021—2035年）》将荔浦市划定为农产品主产区。《规划》全面落实了荔浦市的主体功能并以乡镇为单元进行细化。</w:t>
      </w:r>
    </w:p>
    <w:p>
      <w:pPr>
        <w:pStyle w:val="5"/>
        <w:numPr>
          <w:ilvl w:val="0"/>
          <w:numId w:val="23"/>
        </w:numPr>
        <w:spacing w:before="0" w:after="0"/>
        <w:ind w:left="0" w:firstLine="641"/>
        <w:rPr>
          <w:rFonts w:ascii="楷体_GB2312" w:eastAsia="楷体_GB2312"/>
        </w:rPr>
      </w:pPr>
      <w:r>
        <w:rPr>
          <w:rFonts w:hint="eastAsia" w:ascii="楷体_GB2312" w:eastAsia="楷体_GB2312"/>
        </w:rPr>
        <w:t>农业空间和乡村振兴</w:t>
      </w:r>
    </w:p>
    <w:p>
      <w:pPr>
        <w:ind w:firstLine="640"/>
        <w:rPr>
          <w:rFonts w:ascii="仿宋_GB2312"/>
        </w:rPr>
      </w:pPr>
      <w:r>
        <w:rPr>
          <w:rFonts w:hint="eastAsia" w:ascii="仿宋_GB2312"/>
        </w:rPr>
        <w:t>《规划》落实了桂林市国土空间规划中提出的：形成南部粮食主产区的要求，重点发展水果、蔬菜、养殖、花卉、农产品加工、乡村旅游6大产业。《规划》落实了上位规划农业发展分区引导的总要求，并细化了市域农业空间发展格局，形成“一核、四区、四带、多点”的布局，按特色农业发展方向引导农业分区建设，包括西部生态康养农业区（蒲芦瑶族乡、茶城乡和大塘镇、花</w:t>
      </w:r>
      <w:r>
        <w:rPr>
          <w:rFonts w:hint="eastAsia" w:ascii="宋体" w:hAnsi="宋体" w:eastAsia="宋体"/>
        </w:rPr>
        <w:t>篢</w:t>
      </w:r>
      <w:r>
        <w:rPr>
          <w:rFonts w:hint="eastAsia" w:ascii="仿宋_GB2312"/>
        </w:rPr>
        <w:t>镇部分地区）、南部生态特色农产品优势区（修仁镇、龙怀乡、青山镇、杜莫镇、新坪镇）、东部优质生态农业区（东昌镇、新坪镇）、北部生态休闲农业区（双江镇、马岭镇、东昌镇和花</w:t>
      </w:r>
      <w:r>
        <w:rPr>
          <w:rFonts w:hint="eastAsia" w:ascii="宋体" w:hAnsi="宋体" w:eastAsia="宋体"/>
        </w:rPr>
        <w:t>篢</w:t>
      </w:r>
      <w:r>
        <w:rPr>
          <w:rFonts w:hint="eastAsia" w:ascii="仿宋_GB2312"/>
        </w:rPr>
        <w:t>镇）。</w:t>
      </w:r>
    </w:p>
    <w:p>
      <w:pPr>
        <w:pStyle w:val="5"/>
        <w:numPr>
          <w:ilvl w:val="0"/>
          <w:numId w:val="23"/>
        </w:numPr>
        <w:spacing w:before="0" w:after="0"/>
        <w:ind w:left="0" w:firstLine="641"/>
        <w:rPr>
          <w:rFonts w:ascii="楷体_GB2312" w:eastAsia="楷体_GB2312"/>
        </w:rPr>
      </w:pPr>
      <w:r>
        <w:rPr>
          <w:rFonts w:hint="eastAsia" w:ascii="楷体_GB2312" w:eastAsia="楷体_GB2312"/>
        </w:rPr>
        <w:t>生态空间和自然保护地体系</w:t>
      </w:r>
    </w:p>
    <w:p>
      <w:pPr>
        <w:ind w:firstLine="640"/>
        <w:rPr>
          <w:rFonts w:ascii="仿宋_GB2312"/>
        </w:rPr>
      </w:pPr>
      <w:r>
        <w:rPr>
          <w:rFonts w:hint="eastAsia" w:ascii="仿宋_GB2312"/>
        </w:rPr>
        <w:t>《规划》落实了桂林市国土空间规划提出的：以生态屏障、生态廊道、生态绿核等要素构成的生态安全格局，落实了大瑶山-莲花山水源涵养与生物多样性保护重要区、架桥岭水源涵养与生物多样性保护重要区以及平乐南部山地水源涵养重要区等3个集中连片的关键生态区布局。《规划》构建了“一屏、一廊、三核”的生态安全格局，全市近12%的国土面积划入自然保护地范围，建立以广西大瑶山国家级自然保护区、广西桂林架桥岭自治区级自然保护区、广西柳州拉沟自治区级自然保护区和广西荔浦荔江国家湿地公园为主体的“3+1”自然保护地体系。</w:t>
      </w:r>
    </w:p>
    <w:p>
      <w:pPr>
        <w:pStyle w:val="5"/>
        <w:numPr>
          <w:ilvl w:val="0"/>
          <w:numId w:val="23"/>
        </w:numPr>
        <w:spacing w:before="0" w:after="0"/>
        <w:ind w:left="0" w:firstLine="641"/>
        <w:rPr>
          <w:rFonts w:ascii="楷体_GB2312" w:eastAsia="楷体_GB2312"/>
        </w:rPr>
      </w:pPr>
      <w:r>
        <w:rPr>
          <w:rFonts w:hint="eastAsia" w:ascii="楷体_GB2312" w:eastAsia="楷体_GB2312"/>
        </w:rPr>
        <w:t>城镇空间和城镇体系</w:t>
      </w:r>
    </w:p>
    <w:p>
      <w:pPr>
        <w:ind w:firstLine="640"/>
        <w:rPr>
          <w:rFonts w:ascii="仿宋_GB2312"/>
        </w:rPr>
      </w:pPr>
      <w:r>
        <w:rPr>
          <w:rFonts w:hint="eastAsia" w:ascii="仿宋_GB2312"/>
        </w:rPr>
        <w:t>《桂林市规划》提出规划四级城镇规模结构，将荔浦市中心城区（荔城镇、新坪镇）建设为二级城镇，到2035年，建成城镇常住人口规模约20-50万人的Ⅱ型副中心城市。《荔浦市国民经济和社会发展第十四个五年规划和2035年远景目标纲要》提出的构筑“一轴、一区、多点”的新型城镇化空间格局，形成城镇重点发展轴、城镇聚焦发展区，构建协同化空间格局，逐步形成带动全市高质量发展的核心经济圈层。《规划》落实了以上规划对荔浦市的城镇空间和城镇等级定位，构建了“一核、一轴、两翼”的城镇空间结构，形成“2个中心镇—3个重点镇—8个一般镇”等级合理、协调有序的城镇体系。《规划》提出：依托荔浦撤县设市机遇，充分发挥荔浦市区位优势，优化拓展城市空间，加大基础设施投入，发展特色产业，主动承接粤港澳大湾区和周边大中城市产业转移，壮大市域经济实力，增强综合承载能力，辐射青山镇、新坪镇、大塘镇、双江镇、马岭镇，促进经济发展和人口集聚，改善人居环境，提升城市品位，提高城镇化水平，成为城区人口达20万的广西新型城镇化示范中等城市，创建全国县城新型城镇化建设示范县。</w:t>
      </w:r>
    </w:p>
    <w:p>
      <w:pPr>
        <w:pStyle w:val="5"/>
        <w:numPr>
          <w:ilvl w:val="0"/>
          <w:numId w:val="23"/>
        </w:numPr>
        <w:spacing w:before="0" w:after="0"/>
        <w:ind w:left="0" w:firstLine="641"/>
        <w:rPr>
          <w:rFonts w:ascii="楷体_GB2312" w:eastAsia="楷体_GB2312"/>
        </w:rPr>
      </w:pPr>
      <w:r>
        <w:rPr>
          <w:rFonts w:hint="eastAsia" w:ascii="楷体_GB2312" w:eastAsia="楷体_GB2312"/>
        </w:rPr>
        <w:t>产业空间</w:t>
      </w:r>
    </w:p>
    <w:p>
      <w:pPr>
        <w:ind w:firstLine="640"/>
        <w:rPr>
          <w:rFonts w:ascii="仿宋_GB2312"/>
        </w:rPr>
      </w:pPr>
      <w:r>
        <w:rPr>
          <w:rFonts w:hint="eastAsia" w:ascii="仿宋_GB2312"/>
        </w:rPr>
        <w:t>《规划》落实了桂林市国土空间规划提出的：构建“三四五”工业发展格局，将荔浦市规定为工业重点县（市），保障产业用地供给，加快推进工业产业的发展。《规划》提出“一区两城、一心多点”的产业空间结构，打造荔浦市三大产业新空间，建立以长水岭现代产业园区和新坪科创产业新城为核心的产业生态圈。</w:t>
      </w:r>
    </w:p>
    <w:p>
      <w:pPr>
        <w:pStyle w:val="5"/>
        <w:numPr>
          <w:ilvl w:val="0"/>
          <w:numId w:val="23"/>
        </w:numPr>
        <w:spacing w:before="0" w:after="0"/>
        <w:ind w:left="0" w:firstLine="641"/>
        <w:rPr>
          <w:rFonts w:ascii="楷体_GB2312" w:eastAsia="楷体_GB2312"/>
        </w:rPr>
      </w:pPr>
      <w:r>
        <w:rPr>
          <w:rFonts w:hint="eastAsia" w:ascii="楷体_GB2312" w:eastAsia="楷体_GB2312"/>
        </w:rPr>
        <w:t>重大基础设施</w:t>
      </w:r>
    </w:p>
    <w:p>
      <w:pPr>
        <w:ind w:firstLine="640"/>
      </w:pPr>
      <w:r>
        <w:rPr>
          <w:rFonts w:hint="eastAsia" w:ascii="楷体" w:hAnsi="楷体" w:eastAsia="楷体"/>
        </w:rPr>
        <w:t>交通基础设施方面。</w:t>
      </w:r>
      <w:r>
        <w:rPr>
          <w:rFonts w:hint="eastAsia" w:ascii="仿宋_GB2312"/>
        </w:rPr>
        <w:t>《规划》主要衔接了国家《中长期铁路网规划（2016-2030年）》《荔浦市综合交通运输发展“十四五”规划》，综合交通设施布局规划和项目中衔接了“十四五”期间打造综合交通格局和枢纽建设内容，以及铁路、公路、交通基础设施、物流设施等重点建设项目。</w:t>
      </w:r>
    </w:p>
    <w:p>
      <w:pPr>
        <w:ind w:firstLine="640"/>
      </w:pPr>
      <w:r>
        <w:rPr>
          <w:rFonts w:hint="eastAsia" w:ascii="楷体" w:hAnsi="楷体" w:eastAsia="楷体"/>
        </w:rPr>
        <w:t>能源基础设施方面。</w:t>
      </w:r>
      <w:r>
        <w:rPr>
          <w:rFonts w:hint="eastAsia" w:ascii="仿宋_GB2312"/>
        </w:rPr>
        <w:t>《规划》主要衔接了《广西能源发展“十四五”规划》，对电网布局和油气管廊等进行了项目空间安排。</w:t>
      </w:r>
    </w:p>
    <w:p>
      <w:pPr>
        <w:ind w:firstLine="640"/>
      </w:pPr>
      <w:r>
        <w:rPr>
          <w:rFonts w:hint="eastAsia" w:ascii="楷体" w:hAnsi="楷体" w:eastAsia="楷体"/>
        </w:rPr>
        <w:t>水利基础设施方面。</w:t>
      </w:r>
      <w:r>
        <w:rPr>
          <w:rFonts w:hint="eastAsia" w:ascii="仿宋_GB2312"/>
        </w:rPr>
        <w:t>《规划》主要衔接了《桂林市水安全保障“十四五”规划》，对水资源调配和水利工程建设，特别是城乡饮用水水源工程项目等进行了保障。</w:t>
      </w:r>
    </w:p>
    <w:p>
      <w:pPr>
        <w:pStyle w:val="5"/>
        <w:numPr>
          <w:ilvl w:val="0"/>
          <w:numId w:val="23"/>
        </w:numPr>
        <w:spacing w:before="0" w:after="0"/>
        <w:ind w:left="0" w:firstLine="641"/>
        <w:rPr>
          <w:rFonts w:ascii="楷体_GB2312" w:eastAsia="楷体_GB2312"/>
        </w:rPr>
      </w:pPr>
      <w:r>
        <w:rPr>
          <w:rFonts w:hint="eastAsia" w:ascii="楷体_GB2312" w:eastAsia="楷体_GB2312"/>
        </w:rPr>
        <w:t>保护与传承历史文化</w:t>
      </w:r>
    </w:p>
    <w:p>
      <w:pPr>
        <w:ind w:firstLine="640"/>
        <w:rPr>
          <w:rFonts w:ascii="仿宋_GB2312"/>
        </w:rPr>
      </w:pPr>
      <w:r>
        <w:rPr>
          <w:rFonts w:hint="eastAsia" w:ascii="仿宋_GB2312"/>
        </w:rPr>
        <w:t>《规划》衔接上级规划历史文化保护体系相关要求，在全域层面保护历史文化载体，提出分类管控要求。分类为两大类6小类，两大类分别为城乡历史环境和历史文化保护对象。城乡历史环境包括传统村落和历史特色村屯，历史文化保护对象包括风貌保护河道、文物保护单位及文物点和非物质文化遗产。</w:t>
      </w:r>
    </w:p>
    <w:p>
      <w:pPr>
        <w:pStyle w:val="5"/>
        <w:numPr>
          <w:ilvl w:val="0"/>
          <w:numId w:val="23"/>
        </w:numPr>
        <w:spacing w:before="0" w:after="0"/>
        <w:ind w:left="0" w:firstLine="641"/>
        <w:rPr>
          <w:rFonts w:ascii="楷体_GB2312" w:eastAsia="楷体_GB2312"/>
        </w:rPr>
      </w:pPr>
      <w:r>
        <w:rPr>
          <w:rFonts w:hint="eastAsia" w:ascii="楷体_GB2312" w:eastAsia="楷体_GB2312"/>
        </w:rPr>
        <w:t>重点建设项目方面</w:t>
      </w:r>
    </w:p>
    <w:p>
      <w:pPr>
        <w:ind w:firstLine="640"/>
        <w:rPr>
          <w:rFonts w:ascii="仿宋_GB2312"/>
        </w:rPr>
      </w:pPr>
      <w:r>
        <w:rPr>
          <w:rFonts w:hint="eastAsia" w:ascii="仿宋_GB2312"/>
        </w:rPr>
        <w:t>《规划》中重点建设项目清单落实了保留国家级、自治区级、桂林市级相应重点项目，衔接了《荔浦市国民经济和社会发展第十四个五年规划和2035年远景目标纲要》与荔浦市各委办局提出的重点项目安排，各项目均有相关依据。</w:t>
      </w:r>
    </w:p>
    <w:p>
      <w:pPr>
        <w:pStyle w:val="4"/>
        <w:numPr>
          <w:ilvl w:val="0"/>
          <w:numId w:val="22"/>
        </w:numPr>
        <w:ind w:left="0" w:firstLine="640"/>
      </w:pPr>
      <w:r>
        <w:rPr>
          <w:rFonts w:hint="eastAsia"/>
        </w:rPr>
        <w:t>围绕目标定位，明确城市性质</w:t>
      </w:r>
    </w:p>
    <w:p>
      <w:pPr>
        <w:ind w:firstLine="640"/>
        <w:rPr>
          <w:rFonts w:ascii="仿宋_GB2312"/>
        </w:rPr>
      </w:pPr>
      <w:r>
        <w:rPr>
          <w:rFonts w:hint="eastAsia" w:ascii="仿宋_GB2312"/>
        </w:rPr>
        <w:t>衔接《荔浦市国民经济和社会发展第十四个五年规划和二〇三五年远景目标纲要》，《规划》提出荔浦市城市性质为：桂林南部副中心城市、区域性交通枢纽城市。</w:t>
      </w:r>
    </w:p>
    <w:p>
      <w:pPr>
        <w:ind w:firstLine="640"/>
        <w:rPr>
          <w:rFonts w:ascii="仿宋_GB2312"/>
        </w:rPr>
      </w:pPr>
      <w:r>
        <w:rPr>
          <w:rFonts w:hint="eastAsia" w:ascii="仿宋_GB2312"/>
        </w:rPr>
        <w:t>荔浦城市发展愿景为新型城镇化建设示范县，创新发展集聚区、产业转型升级引领区，乡村振兴示范县（市），民营经济示范县和桂林南部交通枢纽。</w:t>
      </w:r>
    </w:p>
    <w:p>
      <w:pPr>
        <w:ind w:firstLine="640"/>
        <w:rPr>
          <w:rFonts w:ascii="仿宋_GB2312"/>
        </w:rPr>
      </w:pPr>
      <w:r>
        <w:rPr>
          <w:rFonts w:hint="eastAsia" w:ascii="楷体" w:hAnsi="楷体" w:eastAsia="楷体"/>
        </w:rPr>
        <w:t>新型城镇化建设示范县（市）。</w:t>
      </w:r>
      <w:r>
        <w:rPr>
          <w:rFonts w:hint="eastAsia" w:ascii="仿宋_GB2312"/>
        </w:rPr>
        <w:t>统筹协调，协同发展，合理规划城乡产业布局，做精一产，做强二产，做优三产，推动一二三产业深度融合、互动、并联发展；整合空间，发挥产业园区对人口集聚的带动作用，促进产业与城市功能融合，做到“以产促城，以城兴产，产城融合”，实现生产、生活、生态“三生融合”，建成产业融合、产城融合示范区。依托荔浦撤县设市机遇，充分发挥荔浦市区位优势，优化拓展城市空间，加大基础设施投入，发展特色产业，主动承接粤港澳大湾区和周边大中城市产业转移，壮大市域经济实力，增强综合承载能力，辐射青山镇、新坪镇、大塘镇、双江镇、马岭镇，促进经济发展和人口集聚，改善人居环境，提升城市品位，提高城镇化水平，成为城区人口达20万的广西新型城镇化示范中等城市，创建全国县城新型城镇化建设示范县（市）。</w:t>
      </w:r>
    </w:p>
    <w:p>
      <w:pPr>
        <w:ind w:firstLine="640"/>
        <w:rPr>
          <w:rFonts w:ascii="仿宋_GB2312"/>
        </w:rPr>
      </w:pPr>
      <w:r>
        <w:rPr>
          <w:rFonts w:ascii="楷体" w:hAnsi="楷体" w:eastAsia="楷体"/>
        </w:rPr>
        <w:t>创新发展集聚区、产业转型升级引领区</w:t>
      </w:r>
      <w:r>
        <w:rPr>
          <w:rFonts w:hint="eastAsia" w:ascii="楷体" w:hAnsi="楷体" w:eastAsia="楷体"/>
        </w:rPr>
        <w:t>。</w:t>
      </w:r>
      <w:r>
        <w:rPr>
          <w:rFonts w:hint="eastAsia" w:ascii="仿宋_GB2312"/>
        </w:rPr>
        <w:t>立足荔浦市的资源禀赋、发展基础、产业特色，以突出特色打造品牌，技术升级延伸产业，三产融合提升效益为总体思路，以两大园区建设为突破口，不断适应创新发展的新要求，构建和完善新的产业体系，全力招大引强，补齐、补强产业链条，推动产业集群发展，打造衣架家居、食品药品、光电科技“三个百亿元产业”，构建产业大融合、大循环。到2025年，基本形成现代工业产业体系，实现工业强市，成为创新发展集聚区、产业转型升级引领区。</w:t>
      </w:r>
    </w:p>
    <w:p>
      <w:pPr>
        <w:pStyle w:val="89"/>
        <w:ind w:firstLine="640"/>
        <w:rPr>
          <w:rFonts w:ascii="仿宋_GB2312"/>
        </w:rPr>
      </w:pPr>
      <w:r>
        <w:rPr>
          <w:rFonts w:ascii="楷体" w:hAnsi="楷体" w:eastAsia="楷体"/>
        </w:rPr>
        <w:t>乡村振兴示范县（市）</w:t>
      </w:r>
      <w:r>
        <w:rPr>
          <w:rFonts w:hint="eastAsia" w:ascii="楷体" w:hAnsi="楷体" w:eastAsia="楷体"/>
        </w:rPr>
        <w:t>。</w:t>
      </w:r>
      <w:r>
        <w:rPr>
          <w:rFonts w:hint="eastAsia" w:ascii="仿宋_GB2312"/>
        </w:rPr>
        <w:t>围绕发展农业农村现代化，按照产业兴旺、生态宜居、乡风文明、治理有效、生活富裕的总要求，构建乡村产业体系，实现产业兴旺；开发人力资本，强化人才支撑；弘扬主旋律和社会正气，培育文明乡风、良好家风、淳朴民风；坚持生态优先绿色发展不动摇，建设生态宜居美丽家园；建立健全党委领导、政府负责、社会协同、公众参与、法治保障的现代乡村社会治理体制，努力打造成为乡村振兴示范县（市）。</w:t>
      </w:r>
    </w:p>
    <w:p>
      <w:pPr>
        <w:pStyle w:val="89"/>
        <w:ind w:firstLine="640"/>
      </w:pPr>
      <w:r>
        <w:rPr>
          <w:rFonts w:ascii="楷体" w:hAnsi="楷体" w:eastAsia="楷体"/>
        </w:rPr>
        <w:t>民营经济示范县（市）</w:t>
      </w:r>
      <w:r>
        <w:rPr>
          <w:rFonts w:hint="eastAsia" w:ascii="楷体" w:hAnsi="楷体" w:eastAsia="楷体"/>
        </w:rPr>
        <w:t>。</w:t>
      </w:r>
      <w:r>
        <w:rPr>
          <w:rFonts w:hint="eastAsia" w:ascii="仿宋_GB2312"/>
        </w:rPr>
        <w:t>统筹利用各级政府出台的关于发展民营经济的系列扶持优惠政策，积极探索适合荔浦市民营经济发展的道路，形成独具特色的创新模式，推出一批原创性、能引领、可复制的创新工作举措，推动民营经济持续健康发展，有力促进经济高质量发展，创建全国民营经济示范县（市）。</w:t>
      </w:r>
    </w:p>
    <w:p>
      <w:pPr>
        <w:pStyle w:val="89"/>
        <w:ind w:firstLine="640"/>
        <w:rPr>
          <w:rFonts w:ascii="仿宋_GB2312"/>
        </w:rPr>
      </w:pPr>
      <w:r>
        <w:rPr>
          <w:rFonts w:ascii="楷体" w:hAnsi="楷体" w:eastAsia="楷体"/>
        </w:rPr>
        <w:t>桂林南部交通枢纽</w:t>
      </w:r>
      <w:r>
        <w:rPr>
          <w:rFonts w:hint="eastAsia" w:ascii="楷体" w:hAnsi="楷体" w:eastAsia="楷体"/>
        </w:rPr>
        <w:t>。</w:t>
      </w:r>
      <w:r>
        <w:rPr>
          <w:rFonts w:hint="eastAsia" w:ascii="仿宋_GB2312"/>
        </w:rPr>
        <w:t>把握荔浦市紧靠泛珠三角、港澳地区，地处桂林、贺州、梧州、柳州和来宾等五市连结点的区位优势及战略地位。不断加快现代化高质量综合立体交通网建设，推进通用航空机场建设，力争怀湛铁路、柳韶铁路在荔浦市设置站点，持续推进贺巴高速荔浦段的建设，构建航空、铁路、公路等四通八达的复合式、立体化便捷的交通网络，打造桂林南部交通枢纽。</w:t>
      </w:r>
    </w:p>
    <w:p>
      <w:pPr>
        <w:pStyle w:val="4"/>
        <w:numPr>
          <w:ilvl w:val="0"/>
          <w:numId w:val="22"/>
        </w:numPr>
        <w:ind w:left="0" w:firstLine="640"/>
      </w:pPr>
      <w:r>
        <w:t>关于主体功能定位</w:t>
      </w:r>
    </w:p>
    <w:p>
      <w:pPr>
        <w:ind w:firstLine="640"/>
        <w:rPr>
          <w:rFonts w:ascii="仿宋_GB2312"/>
        </w:rPr>
      </w:pPr>
      <w:r>
        <w:rPr>
          <w:rFonts w:hint="eastAsia" w:ascii="仿宋_GB2312"/>
        </w:rPr>
        <w:t>《广西壮族自治区国土空间规划（2021—2035年）》和《桂林市国土空间总体规划（2021—2035年）》将荔浦市划定为农产品主产区。</w:t>
      </w:r>
    </w:p>
    <w:p>
      <w:pPr>
        <w:ind w:firstLine="640"/>
        <w:rPr>
          <w:rFonts w:ascii="仿宋_GB2312"/>
        </w:rPr>
      </w:pPr>
      <w:r>
        <w:rPr>
          <w:rFonts w:hint="eastAsia" w:ascii="仿宋_GB2312" w:hAnsi="仿宋"/>
        </w:rPr>
        <w:t>根据《广西主体功能区局部以乡镇为单元细化规则（试行）》，荔浦市主体功能区细化通过定性与定量结合的方式，衔接桂林市层面主体功能区，根据区域规划期内主导产业发展方向，以乡镇为单元，以“双评价”结果、各类统计数据等多源数据为基础，结合对荔浦市现状实际情况的客观判断，科学构建多层次的评价指标体系，包括生态、农业、城镇3个维度、16个因子进行主导因素判定和校核，客观判别和分析荔浦市13个乡镇（街道）级行政区的主体功能水平。其中，将广西桂林架桥岭自治区级自然保护区与生态价值高、亟待保护修复的蒲芦瑶族乡等1个乡镇划为重点生态功能区；将北部生态休闲农业区、南部生态特色农产品优势区以及东部优质生态农业区以及农业禀赋和农业发展好的东昌镇、杜莫镇、青山镇、修仁镇、大塘镇、花</w:t>
      </w:r>
      <w:r>
        <w:rPr>
          <w:rFonts w:hint="eastAsia" w:ascii="宋体" w:hAnsi="宋体" w:eastAsia="宋体"/>
        </w:rPr>
        <w:t>篢</w:t>
      </w:r>
      <w:r>
        <w:rPr>
          <w:rFonts w:hint="eastAsia" w:ascii="仿宋_GB2312" w:hAnsi="仿宋"/>
        </w:rPr>
        <w:t>镇、双江镇、龙怀乡、茶城乡等9个乡镇赋予农产品主产区；将市人民政府所在地、中心城区以及荔浦市工业集中区的荔城镇、新坪镇、马岭镇等3个乡镇赋予城市化地区。</w:t>
      </w:r>
    </w:p>
    <w:p>
      <w:pPr>
        <w:pStyle w:val="3"/>
        <w:numPr>
          <w:ilvl w:val="0"/>
          <w:numId w:val="21"/>
        </w:numPr>
        <w:ind w:left="0" w:firstLine="643" w:firstLineChars="200"/>
      </w:pPr>
      <w:bookmarkStart w:id="18" w:name="_Toc157018464"/>
      <w:r>
        <w:rPr>
          <w:rFonts w:hint="eastAsia"/>
        </w:rPr>
        <w:t>规划约束性指标和强制性内容</w:t>
      </w:r>
      <w:bookmarkEnd w:id="18"/>
    </w:p>
    <w:p>
      <w:pPr>
        <w:pStyle w:val="4"/>
        <w:numPr>
          <w:ilvl w:val="0"/>
          <w:numId w:val="24"/>
        </w:numPr>
        <w:ind w:left="0" w:firstLine="640"/>
      </w:pPr>
      <w:r>
        <w:rPr>
          <w:rFonts w:hint="eastAsia"/>
        </w:rPr>
        <w:t>国土空间开发保护</w:t>
      </w:r>
      <w:r>
        <w:t>指标体系</w:t>
      </w:r>
    </w:p>
    <w:p>
      <w:pPr>
        <w:ind w:firstLine="640"/>
        <w:rPr>
          <w:rFonts w:ascii="仿宋_GB2312"/>
        </w:rPr>
      </w:pPr>
      <w:r>
        <w:rPr>
          <w:rFonts w:hint="eastAsia" w:ascii="仿宋_GB2312"/>
        </w:rPr>
        <w:t>落实自然资源部、自治区和桂林市关于市县级国土空间总体规划指标体系的要求，围绕荔浦市发展定位和发展目标，构建指标体系，包括27项规划指标（详见表6）。通过制定涵盖空间底线、空间结构与效率、空间品质三大维度，由8项约束性指标、19项预期性指标构成，约束性指标在规划期内不得突破；预期性和建议性指标按照经济社会发展预期，规划期内努力实现。</w:t>
      </w:r>
    </w:p>
    <w:p>
      <w:pPr>
        <w:ind w:firstLine="640"/>
        <w:rPr>
          <w:rFonts w:ascii="仿宋_GB2312"/>
        </w:rPr>
      </w:pPr>
      <w:r>
        <w:rPr>
          <w:rFonts w:hint="eastAsia" w:ascii="仿宋_GB2312"/>
        </w:rPr>
        <w:t xml:space="preserve">空间底线指标12项，其中7项来自《市级指南》要求，根据《全国纲要》增加“森林覆盖率”，将“湿地面积”调整为“湿地保护率”，指标性质均调整为预期性；增加“自然保护地陆域面积占陆域国土面积比例”、“水域空间保有量” 2项预期性指标和“城镇开发边界拓展倍数”1项约束性指标；落实《自治区规划》增加“适宜富硒农产品生产的土地保护面积”和“造林绿化空间面积”2项预期性指标，落实广西保护富硒土壤资源、建设富硒农业空间和建设国土绿化空间的要求。对于《市级指南》提出的“基本草原面积”和“大陆自然海岸线保有率”2项约束性指标，因荔浦市不具有这两类自然地理要素，故不纳入。对于“建设用地总面积”和“城乡建设用地面积”2项约束性指标，因上级未下达相关规模指标，且《全国纲要》和《自治区规划》均已删除相关指标，故同样不纳入指标体系。 </w:t>
      </w:r>
    </w:p>
    <w:p>
      <w:pPr>
        <w:ind w:firstLine="640"/>
        <w:rPr>
          <w:rFonts w:ascii="仿宋_GB2312"/>
        </w:rPr>
      </w:pPr>
      <w:r>
        <w:rPr>
          <w:rFonts w:hint="eastAsia" w:ascii="仿宋_GB2312"/>
        </w:rPr>
        <w:t xml:space="preserve">空间结构与效率指标5项，其中3项来自《市级指南》要求，增加单位国内生产总值建设用地使用面积下降率和单位工业增加值耗地下降率2项指标。 </w:t>
      </w:r>
    </w:p>
    <w:p>
      <w:pPr>
        <w:ind w:firstLine="640"/>
        <w:rPr>
          <w:rFonts w:ascii="仿宋_GB2312"/>
        </w:rPr>
      </w:pPr>
      <w:r>
        <w:rPr>
          <w:rFonts w:hint="eastAsia" w:ascii="仿宋_GB2312"/>
        </w:rPr>
        <w:t>宜居品质指标10项，全部来自《市级指南》。</w:t>
      </w:r>
    </w:p>
    <w:tbl>
      <w:tblPr>
        <w:tblStyle w:val="3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5" w:type="dxa"/>
          <w:bottom w:w="15" w:type="dxa"/>
          <w:right w:w="15" w:type="dxa"/>
        </w:tblCellMar>
      </w:tblPr>
      <w:tblGrid>
        <w:gridCol w:w="707"/>
        <w:gridCol w:w="4350"/>
        <w:gridCol w:w="1840"/>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15" w:type="dxa"/>
            <w:left w:w="15" w:type="dxa"/>
            <w:bottom w:w="15" w:type="dxa"/>
            <w:right w:w="15" w:type="dxa"/>
          </w:tblCellMar>
        </w:tblPrEx>
        <w:trPr>
          <w:trHeight w:val="360" w:hRule="atLeast"/>
        </w:trPr>
        <w:tc>
          <w:tcPr>
            <w:tcW w:w="8296" w:type="dxa"/>
            <w:gridSpan w:val="4"/>
            <w:shd w:val="clear" w:color="auto" w:fill="FFFFFF" w:themeFill="background1"/>
            <w:vAlign w:val="center"/>
          </w:tcPr>
          <w:p>
            <w:pPr>
              <w:pStyle w:val="57"/>
              <w:spacing w:before="163" w:after="163"/>
            </w:pPr>
            <w:r>
              <w:rPr>
                <w:rFonts w:hint="eastAsia"/>
              </w:rPr>
              <w:t>荔浦市国土空间总体规划指标表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szCs w:val="21"/>
              </w:rPr>
            </w:pPr>
            <w:r>
              <w:rPr>
                <w:rFonts w:hint="eastAsia" w:ascii="仿宋_GB2312"/>
                <w:szCs w:val="21"/>
              </w:rPr>
              <w:t>序号</w:t>
            </w:r>
          </w:p>
        </w:tc>
        <w:tc>
          <w:tcPr>
            <w:tcW w:w="4350" w:type="dxa"/>
            <w:shd w:val="clear" w:color="auto" w:fill="FFFFFF" w:themeFill="background1"/>
            <w:vAlign w:val="center"/>
          </w:tcPr>
          <w:p>
            <w:pPr>
              <w:pStyle w:val="64"/>
              <w:rPr>
                <w:rFonts w:ascii="仿宋_GB2312"/>
                <w:szCs w:val="21"/>
              </w:rPr>
            </w:pPr>
            <w:r>
              <w:rPr>
                <w:rFonts w:hint="eastAsia" w:ascii="仿宋_GB2312"/>
                <w:szCs w:val="21"/>
              </w:rPr>
              <w:t>指标项</w:t>
            </w:r>
          </w:p>
        </w:tc>
        <w:tc>
          <w:tcPr>
            <w:tcW w:w="1840" w:type="dxa"/>
            <w:shd w:val="clear" w:color="auto" w:fill="FFFFFF" w:themeFill="background1"/>
            <w:vAlign w:val="center"/>
          </w:tcPr>
          <w:p>
            <w:pPr>
              <w:pStyle w:val="64"/>
              <w:rPr>
                <w:rFonts w:ascii="仿宋_GB2312"/>
                <w:szCs w:val="21"/>
              </w:rPr>
            </w:pPr>
            <w:r>
              <w:rPr>
                <w:rFonts w:hint="eastAsia" w:ascii="仿宋_GB2312"/>
                <w:szCs w:val="21"/>
              </w:rPr>
              <w:t>指标属性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指标层级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1</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耕地保有量（万亩）</w:t>
            </w:r>
          </w:p>
        </w:tc>
        <w:tc>
          <w:tcPr>
            <w:tcW w:w="1840" w:type="dxa"/>
            <w:shd w:val="clear" w:color="auto" w:fill="FFFFFF" w:themeFill="background1"/>
            <w:vAlign w:val="center"/>
          </w:tcPr>
          <w:p>
            <w:pPr>
              <w:pStyle w:val="64"/>
              <w:rPr>
                <w:rFonts w:ascii="仿宋_GB2312"/>
                <w:szCs w:val="21"/>
              </w:rPr>
            </w:pPr>
            <w:r>
              <w:rPr>
                <w:rFonts w:hint="eastAsia" w:ascii="仿宋_GB2312"/>
                <w:szCs w:val="21"/>
              </w:rPr>
              <w:t>约束性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2</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永久基本农田保护面积(万亩)</w:t>
            </w:r>
          </w:p>
        </w:tc>
        <w:tc>
          <w:tcPr>
            <w:tcW w:w="1840" w:type="dxa"/>
            <w:shd w:val="clear" w:color="auto" w:fill="FFFFFF" w:themeFill="background1"/>
            <w:vAlign w:val="center"/>
          </w:tcPr>
          <w:p>
            <w:pPr>
              <w:pStyle w:val="64"/>
              <w:rPr>
                <w:rFonts w:ascii="仿宋_GB2312"/>
                <w:szCs w:val="21"/>
              </w:rPr>
            </w:pPr>
            <w:r>
              <w:rPr>
                <w:rFonts w:hint="eastAsia" w:ascii="仿宋_GB2312"/>
                <w:szCs w:val="21"/>
              </w:rPr>
              <w:t>约束性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3</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适宜富硒农产品生产的土地保护面积（公顷）</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4</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生态保护红线面积(平方千米)</w:t>
            </w:r>
          </w:p>
        </w:tc>
        <w:tc>
          <w:tcPr>
            <w:tcW w:w="1840" w:type="dxa"/>
            <w:shd w:val="clear" w:color="auto" w:fill="FFFFFF" w:themeFill="background1"/>
            <w:vAlign w:val="center"/>
          </w:tcPr>
          <w:p>
            <w:pPr>
              <w:pStyle w:val="64"/>
              <w:rPr>
                <w:rFonts w:ascii="仿宋_GB2312"/>
                <w:szCs w:val="21"/>
              </w:rPr>
            </w:pPr>
            <w:r>
              <w:rPr>
                <w:rFonts w:hint="eastAsia" w:ascii="仿宋_GB2312"/>
                <w:szCs w:val="21"/>
              </w:rPr>
              <w:t>约束性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1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5</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用水总量(亿立方米)</w:t>
            </w:r>
          </w:p>
        </w:tc>
        <w:tc>
          <w:tcPr>
            <w:tcW w:w="1840" w:type="dxa"/>
            <w:shd w:val="clear" w:color="auto" w:fill="FFFFFF" w:themeFill="background1"/>
            <w:vAlign w:val="center"/>
          </w:tcPr>
          <w:p>
            <w:pPr>
              <w:pStyle w:val="64"/>
              <w:rPr>
                <w:rFonts w:ascii="仿宋_GB2312"/>
                <w:szCs w:val="21"/>
              </w:rPr>
            </w:pPr>
            <w:r>
              <w:rPr>
                <w:rFonts w:hint="eastAsia" w:ascii="仿宋_GB2312"/>
                <w:szCs w:val="21"/>
              </w:rPr>
              <w:t>约束性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6</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自然保护地陆域面积占陆域国土面积比例（%）</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7</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水域空间保有量（平方公里）</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8</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森林覆盖率(%)</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9</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湿地保护率（%）</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10</w:t>
            </w:r>
          </w:p>
        </w:tc>
        <w:tc>
          <w:tcPr>
            <w:tcW w:w="4350" w:type="dxa"/>
            <w:shd w:val="clear" w:color="auto" w:fill="FFFFFF" w:themeFill="background1"/>
            <w:vAlign w:val="center"/>
          </w:tcPr>
          <w:p>
            <w:pPr>
              <w:pStyle w:val="64"/>
              <w:jc w:val="left"/>
              <w:rPr>
                <w:rFonts w:ascii="仿宋_GB2312"/>
                <w:szCs w:val="21"/>
              </w:rPr>
            </w:pPr>
            <w:r>
              <w:rPr>
                <w:rFonts w:hint="eastAsia" w:ascii="仿宋_GB2312" w:hAnsi="Times New Roman"/>
                <w:color w:val="000000"/>
                <w:kern w:val="0"/>
                <w:szCs w:val="21"/>
              </w:rPr>
              <w:t>草原综合植被盖度(%)</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11</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城镇开发边界扩展倍数</w:t>
            </w:r>
          </w:p>
        </w:tc>
        <w:tc>
          <w:tcPr>
            <w:tcW w:w="1840" w:type="dxa"/>
            <w:shd w:val="clear" w:color="auto" w:fill="FFFFFF" w:themeFill="background1"/>
            <w:vAlign w:val="center"/>
          </w:tcPr>
          <w:p>
            <w:pPr>
              <w:pStyle w:val="64"/>
              <w:rPr>
                <w:rFonts w:ascii="仿宋_GB2312"/>
                <w:szCs w:val="21"/>
              </w:rPr>
            </w:pPr>
            <w:r>
              <w:rPr>
                <w:rFonts w:hint="eastAsia" w:ascii="仿宋_GB2312"/>
                <w:szCs w:val="21"/>
              </w:rPr>
              <w:t>约束性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12</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自然和文化遗产(处)</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13</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人均城镇建设用地面积（平方米）</w:t>
            </w:r>
          </w:p>
        </w:tc>
        <w:tc>
          <w:tcPr>
            <w:tcW w:w="1840" w:type="dxa"/>
            <w:shd w:val="clear" w:color="auto" w:fill="FFFFFF" w:themeFill="background1"/>
            <w:vAlign w:val="center"/>
          </w:tcPr>
          <w:p>
            <w:pPr>
              <w:pStyle w:val="64"/>
              <w:rPr>
                <w:rFonts w:ascii="仿宋_GB2312"/>
                <w:szCs w:val="21"/>
              </w:rPr>
            </w:pPr>
            <w:r>
              <w:rPr>
                <w:rFonts w:hint="eastAsia" w:ascii="仿宋_GB2312"/>
                <w:szCs w:val="21"/>
              </w:rPr>
              <w:t>约束性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市域、中心城区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14</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人均应急避难场所面积(平方米)</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中心城区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15</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道路网密度(千米/平方公里)</w:t>
            </w:r>
          </w:p>
        </w:tc>
        <w:tc>
          <w:tcPr>
            <w:tcW w:w="1840" w:type="dxa"/>
            <w:shd w:val="clear" w:color="auto" w:fill="FFFFFF" w:themeFill="background1"/>
            <w:vAlign w:val="center"/>
          </w:tcPr>
          <w:p>
            <w:pPr>
              <w:pStyle w:val="64"/>
              <w:rPr>
                <w:rFonts w:ascii="仿宋_GB2312"/>
                <w:szCs w:val="21"/>
              </w:rPr>
            </w:pPr>
            <w:r>
              <w:rPr>
                <w:rFonts w:hint="eastAsia" w:ascii="仿宋_GB2312"/>
                <w:szCs w:val="21"/>
              </w:rPr>
              <w:t>约束性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中心城区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16</w:t>
            </w:r>
          </w:p>
        </w:tc>
        <w:tc>
          <w:tcPr>
            <w:tcW w:w="4350" w:type="dxa"/>
            <w:shd w:val="clear" w:color="auto" w:fill="FFFFFF" w:themeFill="background1"/>
            <w:vAlign w:val="center"/>
          </w:tcPr>
          <w:p>
            <w:pPr>
              <w:pStyle w:val="91"/>
              <w:numPr>
                <w:ilvl w:val="0"/>
                <w:numId w:val="0"/>
              </w:numPr>
              <w:adjustRightInd w:val="0"/>
              <w:jc w:val="both"/>
              <w:rPr>
                <w:rFonts w:ascii="仿宋_GB2312" w:eastAsia="仿宋_GB2312"/>
                <w:szCs w:val="21"/>
              </w:rPr>
            </w:pPr>
            <w:r>
              <w:rPr>
                <w:rFonts w:hint="eastAsia" w:ascii="仿宋_GB2312" w:hAnsi="Times New Roman" w:eastAsia="仿宋_GB2312"/>
                <w:color w:val="000000"/>
                <w:kern w:val="0"/>
                <w:szCs w:val="21"/>
              </w:rPr>
              <w:t>单位国内生产总值建设用地使用面积下降(%)</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17</w:t>
            </w:r>
          </w:p>
        </w:tc>
        <w:tc>
          <w:tcPr>
            <w:tcW w:w="4350" w:type="dxa"/>
            <w:shd w:val="clear" w:color="auto" w:fill="FFFFFF" w:themeFill="background1"/>
            <w:vAlign w:val="center"/>
          </w:tcPr>
          <w:p>
            <w:pPr>
              <w:pStyle w:val="64"/>
              <w:jc w:val="left"/>
              <w:rPr>
                <w:rFonts w:ascii="仿宋_GB2312"/>
                <w:szCs w:val="21"/>
              </w:rPr>
            </w:pPr>
            <w:r>
              <w:rPr>
                <w:rFonts w:hint="eastAsia" w:ascii="仿宋_GB2312" w:hAnsi="Times New Roman"/>
                <w:color w:val="000000"/>
                <w:kern w:val="0"/>
                <w:szCs w:val="21"/>
              </w:rPr>
              <w:t>单位工业增加值耗地下降</w:t>
            </w:r>
            <w:r>
              <w:rPr>
                <w:rFonts w:hint="eastAsia" w:ascii="仿宋_GB2312"/>
                <w:szCs w:val="21"/>
              </w:rPr>
              <w:t>(%)</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18</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公园绿地、广场步行5分钟覆盖率(%)</w:t>
            </w:r>
          </w:p>
        </w:tc>
        <w:tc>
          <w:tcPr>
            <w:tcW w:w="1840" w:type="dxa"/>
            <w:shd w:val="clear" w:color="auto" w:fill="FFFFFF" w:themeFill="background1"/>
            <w:vAlign w:val="center"/>
          </w:tcPr>
          <w:p>
            <w:pPr>
              <w:pStyle w:val="64"/>
              <w:rPr>
                <w:rFonts w:ascii="仿宋_GB2312"/>
                <w:szCs w:val="21"/>
              </w:rPr>
            </w:pPr>
            <w:r>
              <w:rPr>
                <w:rFonts w:hint="eastAsia" w:ascii="仿宋_GB2312"/>
                <w:szCs w:val="21"/>
              </w:rPr>
              <w:t>约束性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中心城区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19</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卫生、养老、教育、文化、体育等社区公共服务设施步行15分钟覆盖率(%)</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中心城区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20</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城镇人均住房面积(平方米)</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21</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每千名老年人养老床位数(张)</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22</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每千人口医疗卫生机构床位数(张)</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23</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人均体育场地面积(平方米)</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中心城区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24</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人均公园绿地面积(平方米)</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中心城区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25</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降雨就地消纳率(%)</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中心城区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26</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城镇生活垃圾回收利用率(%)</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中心城区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707" w:type="dxa"/>
            <w:shd w:val="clear" w:color="auto" w:fill="FFFFFF" w:themeFill="background1"/>
            <w:vAlign w:val="center"/>
          </w:tcPr>
          <w:p>
            <w:pPr>
              <w:pStyle w:val="64"/>
              <w:rPr>
                <w:rFonts w:ascii="仿宋_GB2312" w:cs="Times New Roman"/>
                <w:szCs w:val="21"/>
              </w:rPr>
            </w:pPr>
            <w:r>
              <w:rPr>
                <w:rFonts w:hint="eastAsia" w:ascii="仿宋_GB2312" w:cs="Times New Roman"/>
                <w:szCs w:val="21"/>
              </w:rPr>
              <w:t>27</w:t>
            </w:r>
          </w:p>
        </w:tc>
        <w:tc>
          <w:tcPr>
            <w:tcW w:w="4350" w:type="dxa"/>
            <w:shd w:val="clear" w:color="auto" w:fill="FFFFFF" w:themeFill="background1"/>
            <w:vAlign w:val="center"/>
          </w:tcPr>
          <w:p>
            <w:pPr>
              <w:pStyle w:val="64"/>
              <w:jc w:val="left"/>
              <w:rPr>
                <w:rFonts w:ascii="仿宋_GB2312"/>
                <w:szCs w:val="21"/>
              </w:rPr>
            </w:pPr>
            <w:r>
              <w:rPr>
                <w:rFonts w:hint="eastAsia" w:ascii="仿宋_GB2312"/>
                <w:szCs w:val="21"/>
              </w:rPr>
              <w:t>农村生活垃圾处理率（%）</w:t>
            </w:r>
          </w:p>
        </w:tc>
        <w:tc>
          <w:tcPr>
            <w:tcW w:w="1840" w:type="dxa"/>
            <w:shd w:val="clear" w:color="auto" w:fill="FFFFFF" w:themeFill="background1"/>
            <w:vAlign w:val="center"/>
          </w:tcPr>
          <w:p>
            <w:pPr>
              <w:pStyle w:val="64"/>
              <w:rPr>
                <w:rFonts w:ascii="仿宋_GB2312"/>
                <w:szCs w:val="21"/>
              </w:rPr>
            </w:pPr>
            <w:r>
              <w:rPr>
                <w:rFonts w:hint="eastAsia" w:ascii="仿宋_GB2312"/>
                <w:szCs w:val="21"/>
              </w:rPr>
              <w:t>预期性</w:t>
            </w:r>
          </w:p>
        </w:tc>
        <w:tc>
          <w:tcPr>
            <w:tcW w:w="1399" w:type="dxa"/>
            <w:shd w:val="clear" w:color="auto" w:fill="FFFFFF" w:themeFill="background1"/>
            <w:vAlign w:val="center"/>
          </w:tcPr>
          <w:p>
            <w:pPr>
              <w:pStyle w:val="64"/>
              <w:rPr>
                <w:rFonts w:ascii="仿宋_GB2312"/>
                <w:szCs w:val="21"/>
              </w:rPr>
            </w:pPr>
            <w:r>
              <w:rPr>
                <w:rFonts w:hint="eastAsia" w:ascii="仿宋_GB2312"/>
                <w:szCs w:val="21"/>
              </w:rPr>
              <w:t>市域</w:t>
            </w:r>
          </w:p>
        </w:tc>
      </w:tr>
    </w:tbl>
    <w:p>
      <w:pPr>
        <w:pStyle w:val="4"/>
        <w:numPr>
          <w:ilvl w:val="0"/>
          <w:numId w:val="24"/>
        </w:numPr>
        <w:ind w:left="0" w:firstLine="640"/>
      </w:pPr>
      <w:r>
        <w:t>规划约束性指标落实和分解说明</w:t>
      </w:r>
    </w:p>
    <w:p>
      <w:pPr>
        <w:ind w:firstLine="640"/>
        <w:rPr>
          <w:rFonts w:ascii="仿宋_GB2312"/>
        </w:rPr>
      </w:pPr>
      <w:r>
        <w:rPr>
          <w:rFonts w:hint="eastAsia" w:ascii="仿宋_GB2312"/>
        </w:rPr>
        <w:t>约束性指标是为实现规划目标，在规划期内不得突破或必须实现的指标，共8项。到2035年，严格落实耕地保有量≥10.79亩、永久基本农田保护面积≥9.55亩，并带位置下达至各乡镇。严格落实生态保护红线面积≥471.76平方千米，并带位置下达至各乡镇。严格落实用水总量，并制定水资源供需平衡方案。严格落实上级下达的森林覆盖率任务，湿地保护率</w:t>
      </w:r>
      <w:r>
        <w:rPr>
          <w:rFonts w:hint="eastAsia" w:ascii="仿宋_GB2312"/>
          <w:color w:val="000000"/>
          <w:szCs w:val="21"/>
        </w:rPr>
        <w:t>≥25.61%</w:t>
      </w:r>
      <w:r>
        <w:rPr>
          <w:rFonts w:hint="eastAsia" w:ascii="仿宋_GB2312"/>
        </w:rPr>
        <w:t>，城镇开发边界扩展倍数1.2倍。市域人均城镇建设用地面积105.75平方米，中心城区人均城镇建设用地面积115平方米，中心城区道路网密度&gt;8.00千米/平方公里，中心城区公园绿地、广场步行5分钟覆盖率&gt;90.00%。由于荔浦市无用海地类，无需落实大陆自然岸线保有率。</w:t>
      </w:r>
    </w:p>
    <w:p>
      <w:pPr>
        <w:pStyle w:val="4"/>
        <w:numPr>
          <w:ilvl w:val="0"/>
          <w:numId w:val="24"/>
        </w:numPr>
        <w:ind w:left="0" w:firstLine="640"/>
      </w:pPr>
      <w:r>
        <w:rPr>
          <w:rFonts w:hint="eastAsia"/>
        </w:rPr>
        <w:t>强制性内容说明</w:t>
      </w:r>
    </w:p>
    <w:p>
      <w:pPr>
        <w:pStyle w:val="5"/>
        <w:numPr>
          <w:ilvl w:val="0"/>
          <w:numId w:val="25"/>
        </w:numPr>
        <w:spacing w:before="0" w:after="0"/>
        <w:ind w:firstLine="640"/>
        <w:rPr>
          <w:rFonts w:ascii="楷体_GB2312" w:eastAsia="楷体_GB2312"/>
        </w:rPr>
      </w:pPr>
      <w:r>
        <w:rPr>
          <w:rFonts w:hint="eastAsia" w:ascii="楷体_GB2312" w:eastAsia="楷体_GB2312"/>
        </w:rPr>
        <w:t>永久基本农田</w:t>
      </w:r>
    </w:p>
    <w:p>
      <w:pPr>
        <w:ind w:firstLine="640"/>
        <w:rPr>
          <w:rFonts w:ascii="仿宋_GB2312"/>
        </w:rPr>
      </w:pPr>
      <w:r>
        <w:rPr>
          <w:rFonts w:hint="eastAsia" w:ascii="仿宋_GB2312"/>
        </w:rPr>
        <w:t>《规划》落实了上级下达的永久基本农田保护任务，按照数量划足、质量划优、空间划实的要求，将集中连片、用途稳定、具有良好水利设施的优质耕地，以及具备改造潜力的中、低产田划定为永久基本农田，对接城镇发展和重大设施建设需要，合理优化永久基本农田布局，实行永久特殊保护。规划至2035年，全市划定永久基本农田保护面积6368.23公顷。</w:t>
      </w:r>
    </w:p>
    <w:p>
      <w:pPr>
        <w:pStyle w:val="5"/>
        <w:spacing w:before="0" w:after="0"/>
        <w:ind w:firstLine="640"/>
        <w:rPr>
          <w:rFonts w:ascii="楷体_GB2312" w:eastAsia="楷体_GB2312"/>
        </w:rPr>
      </w:pPr>
      <w:r>
        <w:rPr>
          <w:rFonts w:hint="eastAsia" w:ascii="楷体_GB2312" w:eastAsia="楷体_GB2312"/>
        </w:rPr>
        <w:t>生态保护红线</w:t>
      </w:r>
    </w:p>
    <w:p>
      <w:pPr>
        <w:ind w:firstLine="640"/>
        <w:rPr>
          <w:rFonts w:ascii="仿宋_GB2312"/>
        </w:rPr>
      </w:pPr>
      <w:r>
        <w:rPr>
          <w:rFonts w:hint="eastAsia" w:ascii="仿宋_GB2312"/>
        </w:rPr>
        <w:t>《规划》按照生态优先、绿色发展的原则，落实了生态保护红线划定要求，优先将架桥岭-大瑶山一带、昭平北部-平乐南部山地一带、广西荔浦荔江国家湿地公园等水源涵养、生物多样性维护功能极重要区域和生态极敏感脆弱的喀斯特石山密布区域划入生态保护红线，保证生态系统完整性和生态廊道连通性。规划至2035年，全市划定生态保护红线面积47175.76公顷。</w:t>
      </w:r>
    </w:p>
    <w:p>
      <w:pPr>
        <w:pStyle w:val="5"/>
        <w:spacing w:before="0" w:after="0"/>
        <w:ind w:firstLine="640"/>
        <w:rPr>
          <w:rFonts w:ascii="楷体_GB2312" w:eastAsia="楷体_GB2312"/>
        </w:rPr>
      </w:pPr>
      <w:r>
        <w:rPr>
          <w:rFonts w:hint="eastAsia" w:ascii="楷体_GB2312" w:eastAsia="楷体_GB2312"/>
        </w:rPr>
        <w:t>城镇开发边界划定</w:t>
      </w:r>
    </w:p>
    <w:p>
      <w:pPr>
        <w:ind w:firstLine="640"/>
        <w:rPr>
          <w:rFonts w:ascii="仿宋_GB2312"/>
        </w:rPr>
      </w:pPr>
      <w:r>
        <w:rPr>
          <w:rFonts w:hint="eastAsia" w:ascii="仿宋_GB2312"/>
        </w:rPr>
        <w:t>《规划》落实了上级下达的城镇开发边界扩展倍数1.2，充分尊重自然地理格局和城镇发展客观规律，考虑人口变化趋势和存量建设用地状况，衔接城镇外围农业和生态空间，优先保障城市重要功能片区和重大项目，科学划定了全市城镇开发边界。规划至2035年，全市城镇开发边界划定规模2799.36公顷。</w:t>
      </w:r>
    </w:p>
    <w:p>
      <w:pPr>
        <w:pStyle w:val="5"/>
        <w:spacing w:before="0" w:after="0"/>
        <w:ind w:firstLine="640"/>
        <w:rPr>
          <w:rFonts w:ascii="楷体_GB2312" w:eastAsia="楷体_GB2312"/>
        </w:rPr>
      </w:pPr>
      <w:r>
        <w:rPr>
          <w:rFonts w:hint="eastAsia" w:ascii="楷体_GB2312" w:eastAsia="楷体_GB2312"/>
        </w:rPr>
        <w:t>另外耕地保有量、用水总量等约束性指标均与《桂林市规划》分解目标保持一致。</w:t>
      </w:r>
    </w:p>
    <w:p>
      <w:pPr>
        <w:pStyle w:val="5"/>
        <w:spacing w:before="0" w:after="0"/>
        <w:ind w:firstLine="640"/>
        <w:rPr>
          <w:rFonts w:ascii="楷体_GB2312" w:eastAsia="楷体_GB2312"/>
        </w:rPr>
      </w:pPr>
      <w:r>
        <w:rPr>
          <w:rFonts w:hint="eastAsia" w:ascii="楷体_GB2312" w:eastAsia="楷体_GB2312"/>
        </w:rPr>
        <w:t>各类历史文化遗存的历史文化保护体系， 历史文化保护线及空间管控要求。</w:t>
      </w:r>
    </w:p>
    <w:p>
      <w:pPr>
        <w:ind w:firstLine="640"/>
      </w:pPr>
      <w:r>
        <w:rPr>
          <w:rFonts w:ascii="楷体" w:hAnsi="楷体" w:eastAsia="楷体" w:cs="仿宋_GB2312"/>
          <w:szCs w:val="32"/>
        </w:rPr>
        <w:t>关于历史文化保护体系的说明</w:t>
      </w:r>
      <w:r>
        <w:rPr>
          <w:rFonts w:hint="eastAsia" w:ascii="楷体" w:hAnsi="楷体" w:eastAsia="楷体" w:cs="仿宋_GB2312"/>
          <w:szCs w:val="32"/>
        </w:rPr>
        <w:t>。</w:t>
      </w:r>
      <w:r>
        <w:rPr>
          <w:rFonts w:hint="eastAsia" w:ascii="仿宋_GB2312"/>
        </w:rPr>
        <w:t>《规划》提出构建“传统村落、特色村屯、风貌保护河道、文物保护单位、未定级文物保护单位、非物质文化遗产”等多层次的历史文化保护体系。</w:t>
      </w:r>
    </w:p>
    <w:p>
      <w:pPr>
        <w:ind w:firstLine="640"/>
        <w:rPr>
          <w:rFonts w:ascii="仿宋_GB2312"/>
        </w:rPr>
      </w:pPr>
      <w:r>
        <w:rPr>
          <w:rFonts w:ascii="楷体" w:hAnsi="楷体" w:eastAsia="楷体" w:cs="仿宋_GB2312"/>
          <w:szCs w:val="32"/>
        </w:rPr>
        <w:t>关于历史文化保护线及空间管控要求的说明</w:t>
      </w:r>
      <w:r>
        <w:rPr>
          <w:rFonts w:hint="eastAsia" w:ascii="楷体" w:hAnsi="楷体" w:eastAsia="楷体" w:cs="仿宋_GB2312"/>
          <w:szCs w:val="32"/>
        </w:rPr>
        <w:t>。</w:t>
      </w:r>
      <w:r>
        <w:rPr>
          <w:rFonts w:hint="eastAsia" w:ascii="仿宋_GB2312"/>
        </w:rPr>
        <w:t>严格保护传统村落、文物保护单位、历史建筑等历史文化资源，划定市域历史文化保护线，并纳入强制性内容。并依据《中华人民共和国文物保护法》《历史文化名城名镇名村保护条例》《城市紫线管理办法》等相关法律法规，明确历史文化遗存的核心保护范围、建设控制地带的管控要求。</w:t>
      </w:r>
    </w:p>
    <w:p>
      <w:pPr>
        <w:ind w:firstLine="640"/>
      </w:pPr>
      <w:r>
        <w:rPr>
          <w:rFonts w:ascii="楷体" w:hAnsi="楷体" w:eastAsia="楷体" w:cs="仿宋_GB2312"/>
          <w:szCs w:val="32"/>
        </w:rPr>
        <w:t>关于历史文化保护数据增补的说明</w:t>
      </w:r>
      <w:r>
        <w:rPr>
          <w:rFonts w:hint="eastAsia" w:ascii="楷体" w:hAnsi="楷体" w:eastAsia="楷体" w:cs="仿宋_GB2312"/>
          <w:szCs w:val="32"/>
        </w:rPr>
        <w:t>。</w:t>
      </w:r>
      <w:r>
        <w:rPr>
          <w:rFonts w:hint="eastAsia" w:ascii="仿宋_GB2312"/>
        </w:rPr>
        <w:t>因缺少文物保护单位和历史建筑的测绘矢量数据，部分历史文化资源保护范围以文本形式确定，待测绘完成后，补充保护控制线的矢量图。还有部分历史建筑的保护范围尚未明确，故暂未将缺少的部分纳入历史文化保护线或城市紫线范围。待后续相关边界划定后，将增补纳入历史文化保护线与城市紫线范围，强化对城乡历史文化遗存的全要素保护与管控。</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34"/>
        <w:gridCol w:w="1134"/>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4"/>
          </w:tcPr>
          <w:p>
            <w:pPr>
              <w:pStyle w:val="57"/>
              <w:spacing w:before="163" w:after="163"/>
            </w:pPr>
            <w:r>
              <w:t>历史文化保护线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pStyle w:val="64"/>
              <w:rPr>
                <w:rFonts w:ascii="仿宋_GB2312"/>
              </w:rPr>
            </w:pPr>
            <w:r>
              <w:rPr>
                <w:rFonts w:hint="eastAsia" w:ascii="仿宋_GB2312"/>
              </w:rPr>
              <w:t>保护类型</w:t>
            </w:r>
          </w:p>
        </w:tc>
        <w:tc>
          <w:tcPr>
            <w:tcW w:w="1134" w:type="dxa"/>
            <w:vAlign w:val="center"/>
          </w:tcPr>
          <w:p>
            <w:pPr>
              <w:pStyle w:val="64"/>
              <w:rPr>
                <w:rFonts w:ascii="仿宋_GB2312"/>
              </w:rPr>
            </w:pPr>
            <w:r>
              <w:rPr>
                <w:rFonts w:hint="eastAsia" w:ascii="仿宋_GB2312"/>
              </w:rPr>
              <w:t>等级</w:t>
            </w:r>
          </w:p>
        </w:tc>
        <w:tc>
          <w:tcPr>
            <w:tcW w:w="1134" w:type="dxa"/>
            <w:vAlign w:val="center"/>
          </w:tcPr>
          <w:p>
            <w:pPr>
              <w:pStyle w:val="64"/>
              <w:rPr>
                <w:rFonts w:ascii="仿宋_GB2312"/>
              </w:rPr>
            </w:pPr>
            <w:r>
              <w:rPr>
                <w:rFonts w:hint="eastAsia" w:ascii="仿宋_GB2312"/>
              </w:rPr>
              <w:t>数量</w:t>
            </w:r>
          </w:p>
        </w:tc>
        <w:tc>
          <w:tcPr>
            <w:tcW w:w="4332" w:type="dxa"/>
            <w:vAlign w:val="center"/>
          </w:tcPr>
          <w:p>
            <w:pPr>
              <w:pStyle w:val="64"/>
              <w:rPr>
                <w:rFonts w:ascii="仿宋_GB2312"/>
              </w:rPr>
            </w:pPr>
            <w:r>
              <w:rPr>
                <w:rFonts w:hint="eastAsia" w:ascii="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Merge w:val="restart"/>
            <w:vAlign w:val="center"/>
          </w:tcPr>
          <w:p>
            <w:pPr>
              <w:pStyle w:val="64"/>
              <w:rPr>
                <w:rFonts w:ascii="仿宋_GB2312"/>
              </w:rPr>
            </w:pPr>
            <w:r>
              <w:rPr>
                <w:rFonts w:hint="eastAsia" w:ascii="仿宋_GB2312"/>
              </w:rPr>
              <w:t>传统村落</w:t>
            </w:r>
          </w:p>
        </w:tc>
        <w:tc>
          <w:tcPr>
            <w:tcW w:w="1134" w:type="dxa"/>
            <w:vAlign w:val="center"/>
          </w:tcPr>
          <w:p>
            <w:pPr>
              <w:pStyle w:val="64"/>
              <w:rPr>
                <w:rFonts w:ascii="仿宋_GB2312"/>
              </w:rPr>
            </w:pPr>
            <w:r>
              <w:rPr>
                <w:rFonts w:hint="eastAsia" w:ascii="仿宋_GB2312"/>
              </w:rPr>
              <w:t>国家级</w:t>
            </w:r>
          </w:p>
        </w:tc>
        <w:tc>
          <w:tcPr>
            <w:tcW w:w="1134" w:type="dxa"/>
            <w:vAlign w:val="center"/>
          </w:tcPr>
          <w:p>
            <w:pPr>
              <w:pStyle w:val="64"/>
              <w:rPr>
                <w:rFonts w:ascii="仿宋_GB2312"/>
              </w:rPr>
            </w:pPr>
            <w:r>
              <w:rPr>
                <w:rFonts w:hint="eastAsia" w:ascii="仿宋_GB2312"/>
              </w:rPr>
              <w:t>1</w:t>
            </w:r>
          </w:p>
        </w:tc>
        <w:tc>
          <w:tcPr>
            <w:tcW w:w="4332" w:type="dxa"/>
            <w:vAlign w:val="center"/>
          </w:tcPr>
          <w:p>
            <w:pPr>
              <w:pStyle w:val="64"/>
              <w:jc w:val="left"/>
              <w:rPr>
                <w:rFonts w:ascii="仿宋_GB2312"/>
              </w:rPr>
            </w:pPr>
            <w:r>
              <w:rPr>
                <w:rFonts w:hint="eastAsia" w:ascii="仿宋_GB2312"/>
              </w:rPr>
              <w:t>已划定小青山屯银龙古寨村落相关数据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Merge w:val="continue"/>
            <w:vAlign w:val="center"/>
          </w:tcPr>
          <w:p>
            <w:pPr>
              <w:pStyle w:val="64"/>
              <w:rPr>
                <w:rFonts w:ascii="仿宋_GB2312"/>
              </w:rPr>
            </w:pPr>
          </w:p>
        </w:tc>
        <w:tc>
          <w:tcPr>
            <w:tcW w:w="1134" w:type="dxa"/>
            <w:vAlign w:val="center"/>
          </w:tcPr>
          <w:p>
            <w:pPr>
              <w:pStyle w:val="64"/>
              <w:rPr>
                <w:rFonts w:ascii="仿宋_GB2312"/>
              </w:rPr>
            </w:pPr>
            <w:r>
              <w:rPr>
                <w:rFonts w:hint="eastAsia" w:ascii="仿宋_GB2312"/>
              </w:rPr>
              <w:t>自治区级</w:t>
            </w:r>
          </w:p>
        </w:tc>
        <w:tc>
          <w:tcPr>
            <w:tcW w:w="1134" w:type="dxa"/>
            <w:vAlign w:val="center"/>
          </w:tcPr>
          <w:p>
            <w:pPr>
              <w:pStyle w:val="64"/>
              <w:rPr>
                <w:rFonts w:ascii="仿宋_GB2312"/>
              </w:rPr>
            </w:pPr>
            <w:r>
              <w:rPr>
                <w:rFonts w:hint="eastAsia" w:ascii="仿宋_GB2312"/>
              </w:rPr>
              <w:t>1</w:t>
            </w:r>
          </w:p>
        </w:tc>
        <w:tc>
          <w:tcPr>
            <w:tcW w:w="4332" w:type="dxa"/>
            <w:vAlign w:val="center"/>
          </w:tcPr>
          <w:p>
            <w:pPr>
              <w:pStyle w:val="64"/>
              <w:jc w:val="left"/>
              <w:rPr>
                <w:rFonts w:ascii="仿宋_GB2312"/>
              </w:rPr>
            </w:pPr>
            <w:r>
              <w:rPr>
                <w:rFonts w:hint="eastAsia" w:ascii="仿宋_GB2312"/>
              </w:rPr>
              <w:t>暂缺新坪镇广福村委寨背屯村落相关数据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Merge w:val="restart"/>
            <w:vAlign w:val="center"/>
          </w:tcPr>
          <w:p>
            <w:pPr>
              <w:pStyle w:val="64"/>
              <w:rPr>
                <w:rFonts w:ascii="仿宋_GB2312"/>
              </w:rPr>
            </w:pPr>
            <w:r>
              <w:rPr>
                <w:rFonts w:hint="eastAsia" w:ascii="仿宋_GB2312"/>
              </w:rPr>
              <w:t>文物保护单位</w:t>
            </w:r>
          </w:p>
        </w:tc>
        <w:tc>
          <w:tcPr>
            <w:tcW w:w="1134" w:type="dxa"/>
            <w:vAlign w:val="center"/>
          </w:tcPr>
          <w:p>
            <w:pPr>
              <w:pStyle w:val="64"/>
              <w:rPr>
                <w:rFonts w:ascii="仿宋_GB2312"/>
              </w:rPr>
            </w:pPr>
            <w:r>
              <w:rPr>
                <w:rFonts w:hint="eastAsia" w:ascii="仿宋_GB2312"/>
              </w:rPr>
              <w:t>自治区级</w:t>
            </w:r>
          </w:p>
        </w:tc>
        <w:tc>
          <w:tcPr>
            <w:tcW w:w="1134" w:type="dxa"/>
            <w:vAlign w:val="center"/>
          </w:tcPr>
          <w:p>
            <w:pPr>
              <w:pStyle w:val="64"/>
              <w:rPr>
                <w:rFonts w:ascii="仿宋_GB2312"/>
              </w:rPr>
            </w:pPr>
            <w:r>
              <w:rPr>
                <w:rFonts w:hint="eastAsia" w:ascii="仿宋_GB2312"/>
              </w:rPr>
              <w:t>5</w:t>
            </w:r>
          </w:p>
        </w:tc>
        <w:tc>
          <w:tcPr>
            <w:tcW w:w="4332" w:type="dxa"/>
            <w:vAlign w:val="center"/>
          </w:tcPr>
          <w:p>
            <w:pPr>
              <w:pStyle w:val="64"/>
              <w:jc w:val="left"/>
              <w:rPr>
                <w:rFonts w:ascii="仿宋_GB2312"/>
              </w:rPr>
            </w:pPr>
            <w:r>
              <w:rPr>
                <w:rFonts w:hint="eastAsia" w:ascii="仿宋_GB2312"/>
              </w:rPr>
              <w:t>以文本形式明确花箦古墓群 、 马岭古墓群 、 荔浦塔  、 福建会馆、大张村革命旧址5处自治区级文物保护单位的保护范围和建设控制范围。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Merge w:val="continue"/>
            <w:vAlign w:val="center"/>
          </w:tcPr>
          <w:p>
            <w:pPr>
              <w:pStyle w:val="64"/>
              <w:rPr>
                <w:rFonts w:ascii="仿宋_GB2312"/>
              </w:rPr>
            </w:pPr>
          </w:p>
        </w:tc>
        <w:tc>
          <w:tcPr>
            <w:tcW w:w="1134" w:type="dxa"/>
            <w:vAlign w:val="center"/>
          </w:tcPr>
          <w:p>
            <w:pPr>
              <w:pStyle w:val="64"/>
              <w:rPr>
                <w:rFonts w:ascii="仿宋_GB2312"/>
              </w:rPr>
            </w:pPr>
            <w:r>
              <w:rPr>
                <w:rFonts w:hint="eastAsia" w:ascii="仿宋_GB2312"/>
              </w:rPr>
              <w:t>县级</w:t>
            </w:r>
          </w:p>
        </w:tc>
        <w:tc>
          <w:tcPr>
            <w:tcW w:w="1134" w:type="dxa"/>
            <w:vAlign w:val="center"/>
          </w:tcPr>
          <w:p>
            <w:pPr>
              <w:pStyle w:val="64"/>
              <w:rPr>
                <w:rFonts w:ascii="仿宋_GB2312"/>
              </w:rPr>
            </w:pPr>
            <w:r>
              <w:rPr>
                <w:rFonts w:hint="eastAsia" w:ascii="仿宋_GB2312"/>
              </w:rPr>
              <w:t>27</w:t>
            </w:r>
          </w:p>
        </w:tc>
        <w:tc>
          <w:tcPr>
            <w:tcW w:w="4332" w:type="dxa"/>
            <w:vAlign w:val="center"/>
          </w:tcPr>
          <w:p>
            <w:pPr>
              <w:pStyle w:val="64"/>
              <w:jc w:val="left"/>
              <w:rPr>
                <w:rFonts w:ascii="仿宋_GB2312"/>
              </w:rPr>
            </w:pPr>
            <w:r>
              <w:rPr>
                <w:rFonts w:hint="eastAsia" w:ascii="仿宋_GB2312"/>
              </w:rPr>
              <w:t>以文本形式明确乌龙桥 、下峒土司城、观岩山古关隘等2</w:t>
            </w:r>
            <w:r>
              <w:rPr>
                <w:rFonts w:ascii="仿宋_GB2312"/>
              </w:rPr>
              <w:t>7</w:t>
            </w:r>
            <w:r>
              <w:rPr>
                <w:rFonts w:hint="eastAsia" w:ascii="仿宋_GB2312"/>
              </w:rPr>
              <w:t>处县级文物保护单位的保护线。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vAlign w:val="center"/>
          </w:tcPr>
          <w:p>
            <w:pPr>
              <w:pStyle w:val="64"/>
              <w:rPr>
                <w:rFonts w:ascii="仿宋_GB2312"/>
              </w:rPr>
            </w:pPr>
            <w:r>
              <w:rPr>
                <w:rFonts w:hint="eastAsia" w:ascii="仿宋_GB2312"/>
              </w:rPr>
              <w:t>未定级文物保护单位</w:t>
            </w:r>
          </w:p>
        </w:tc>
        <w:tc>
          <w:tcPr>
            <w:tcW w:w="1134" w:type="dxa"/>
            <w:vAlign w:val="center"/>
          </w:tcPr>
          <w:p>
            <w:pPr>
              <w:pStyle w:val="64"/>
              <w:rPr>
                <w:rFonts w:ascii="仿宋_GB2312"/>
              </w:rPr>
            </w:pPr>
            <w:r>
              <w:rPr>
                <w:rFonts w:hint="eastAsia" w:ascii="仿宋_GB2312"/>
              </w:rPr>
              <w:t>县级</w:t>
            </w:r>
          </w:p>
        </w:tc>
        <w:tc>
          <w:tcPr>
            <w:tcW w:w="1134" w:type="dxa"/>
            <w:vAlign w:val="center"/>
          </w:tcPr>
          <w:p>
            <w:pPr>
              <w:pStyle w:val="64"/>
              <w:rPr>
                <w:rFonts w:ascii="仿宋_GB2312"/>
              </w:rPr>
            </w:pPr>
            <w:r>
              <w:rPr>
                <w:rFonts w:ascii="仿宋_GB2312"/>
              </w:rPr>
              <w:t>45</w:t>
            </w:r>
          </w:p>
        </w:tc>
        <w:tc>
          <w:tcPr>
            <w:tcW w:w="4332" w:type="dxa"/>
            <w:vAlign w:val="center"/>
          </w:tcPr>
          <w:p>
            <w:pPr>
              <w:pStyle w:val="64"/>
              <w:jc w:val="left"/>
              <w:rPr>
                <w:rFonts w:ascii="仿宋_GB2312"/>
              </w:rPr>
            </w:pPr>
            <w:r>
              <w:rPr>
                <w:rFonts w:hint="eastAsia" w:ascii="仿宋_GB2312"/>
              </w:rPr>
              <w:t>暂缺4</w:t>
            </w:r>
            <w:r>
              <w:rPr>
                <w:rFonts w:ascii="仿宋_GB2312"/>
              </w:rPr>
              <w:t>5</w:t>
            </w:r>
            <w:r>
              <w:rPr>
                <w:rFonts w:hint="eastAsia" w:ascii="仿宋_GB2312"/>
              </w:rPr>
              <w:t>处未定级文物保护单位的相关数据.</w:t>
            </w:r>
          </w:p>
        </w:tc>
      </w:tr>
    </w:tbl>
    <w:p>
      <w:pPr>
        <w:pStyle w:val="5"/>
        <w:spacing w:before="0" w:after="0"/>
        <w:ind w:firstLine="640"/>
        <w:rPr>
          <w:rFonts w:ascii="楷体_GB2312" w:eastAsia="楷体_GB2312"/>
        </w:rPr>
      </w:pPr>
      <w:r>
        <w:rPr>
          <w:rFonts w:hint="eastAsia" w:ascii="楷体_GB2312" w:eastAsia="楷体_GB2312"/>
        </w:rPr>
        <w:t>中心城区范围内结构性绿地、水体等开敞空间的控制范围和均衡分布要求</w:t>
      </w:r>
    </w:p>
    <w:p>
      <w:pPr>
        <w:ind w:firstLine="640"/>
      </w:pPr>
      <w:r>
        <w:rPr>
          <w:rFonts w:ascii="楷体" w:hAnsi="楷体" w:eastAsia="楷体" w:cs="仿宋_GB2312"/>
          <w:szCs w:val="32"/>
        </w:rPr>
        <w:t>关于结构性绿地的说明</w:t>
      </w:r>
      <w:r>
        <w:rPr>
          <w:rFonts w:hint="eastAsia" w:ascii="楷体" w:hAnsi="楷体" w:eastAsia="楷体" w:cs="仿宋_GB2312"/>
          <w:szCs w:val="32"/>
        </w:rPr>
        <w:t>。</w:t>
      </w:r>
      <w:r>
        <w:rPr>
          <w:rFonts w:hint="eastAsia" w:ascii="仿宋_GB2312"/>
        </w:rPr>
        <w:t>《规划》提出构建多级公园体系，具体指市级-街道级-社区级城市绿地；结合路网和绿地，建立“井”字主要景观廊道，串联各功能组团；同时，织补现有河流水系，有机结合绿地广场，并利用街旁带状公园、道路绿化和防护绿带串联各公园绿地；建立4条城区绿道，分别是荔塔绿道、南环绿道、滨河绿道北线和南线，构建点、线、面相结合的蓝绿交织的开敞空间体系。</w:t>
      </w:r>
    </w:p>
    <w:p>
      <w:pPr>
        <w:ind w:firstLine="640"/>
      </w:pPr>
      <w:r>
        <w:rPr>
          <w:rFonts w:ascii="楷体" w:hAnsi="楷体" w:eastAsia="楷体" w:cs="仿宋_GB2312"/>
          <w:szCs w:val="32"/>
        </w:rPr>
        <w:t>关于公园绿地核心指标的说明</w:t>
      </w:r>
      <w:r>
        <w:rPr>
          <w:rFonts w:hint="eastAsia" w:ascii="楷体" w:hAnsi="楷体" w:eastAsia="楷体" w:cs="仿宋_GB2312"/>
          <w:szCs w:val="32"/>
        </w:rPr>
        <w:t>。</w:t>
      </w:r>
      <w:r>
        <w:rPr>
          <w:rFonts w:hint="eastAsia" w:ascii="仿宋_GB2312"/>
        </w:rPr>
        <w:t>在现状公园绿地矢量数据的基础上，完善城市公园体系，包括2个综合公园、4个专类公园、2个城市广场、5个郊野公园、3个社区公园和若干口袋公园及小游园。提出到2035年，中心城区绿地与开敞空间500m服务覆盖率达到90%以上（其中，老城区达到80%以上，新城区达到100%，人均公园绿地面积不少于8平方米的规划目标，并纳入强制性内容。</w:t>
      </w:r>
    </w:p>
    <w:p>
      <w:pPr>
        <w:ind w:firstLine="640"/>
        <w:rPr>
          <w:rFonts w:ascii="仿宋_GB2312"/>
        </w:rPr>
      </w:pPr>
      <w:r>
        <w:rPr>
          <w:rFonts w:ascii="楷体" w:hAnsi="楷体" w:eastAsia="楷体" w:cs="仿宋_GB2312"/>
          <w:szCs w:val="32"/>
        </w:rPr>
        <w:t>关于城市绿线的说明</w:t>
      </w:r>
      <w:r>
        <w:rPr>
          <w:rFonts w:hint="eastAsia" w:ascii="楷体" w:hAnsi="楷体" w:eastAsia="楷体" w:cs="仿宋_GB2312"/>
          <w:szCs w:val="32"/>
        </w:rPr>
        <w:t>。</w:t>
      </w:r>
      <w:r>
        <w:rPr>
          <w:rFonts w:hint="eastAsia" w:ascii="仿宋_GB2312"/>
        </w:rPr>
        <w:t>城市绿线是指城市各类绿地范围的控制线，包括城市公园绿地、防护绿地、广场用地、生产绿地、居住区绿地、道路绿地、生态风景林地等各类城市绿地范围的控制线，主要包括人民公园、滨河公园、体育公园、植物园、儿童公园、革命烈士纪念园、时代广场、科技广场绿地等。到2035年，中心城区城市绿线面积约0.98公顷，并纳入强制性内容。</w:t>
      </w:r>
    </w:p>
    <w:p>
      <w:pPr>
        <w:ind w:firstLine="640"/>
        <w:rPr>
          <w:rFonts w:ascii="仿宋_GB2312"/>
        </w:rPr>
      </w:pPr>
      <w:r>
        <w:rPr>
          <w:rFonts w:ascii="楷体" w:hAnsi="楷体" w:eastAsia="楷体" w:cs="仿宋_GB2312"/>
          <w:szCs w:val="32"/>
        </w:rPr>
        <w:t>探索公园绿地规划管理新机制</w:t>
      </w:r>
      <w:r>
        <w:rPr>
          <w:rFonts w:hint="eastAsia" w:ascii="楷体" w:hAnsi="楷体" w:eastAsia="楷体" w:cs="仿宋_GB2312"/>
          <w:szCs w:val="32"/>
        </w:rPr>
        <w:t>。</w:t>
      </w:r>
      <w:r>
        <w:rPr>
          <w:rFonts w:hint="eastAsia" w:ascii="仿宋_GB2312"/>
        </w:rPr>
        <w:t>根据《国务院办公厅关于科学绿化的指导意见》(国办发〔2021〕19号)，荔浦市作为典型的喀斯特地貌山水城市，应积极探索公园绿地依法办理用地手续但不纳入城镇建设用地规模管理的新机制。中心城区以外的5个郊野公园：黄寨郊野公园、龙口郊野公园、玉雷郊野公园、鹅翎郊野公园、五里郊野公园等位于城镇开发边界以外的山体开敞空间，实际承担市民日常休憩功能，是城市生态景观系统的重要组成部分。</w:t>
      </w:r>
    </w:p>
    <w:p>
      <w:pPr>
        <w:ind w:firstLine="640"/>
      </w:pPr>
      <w:r>
        <w:rPr>
          <w:rFonts w:ascii="楷体" w:hAnsi="楷体" w:eastAsia="楷体" w:cs="仿宋_GB2312"/>
          <w:szCs w:val="32"/>
        </w:rPr>
        <w:t>关于城市蓝线的说明</w:t>
      </w:r>
      <w:r>
        <w:rPr>
          <w:rFonts w:hint="eastAsia" w:ascii="楷体" w:hAnsi="楷体" w:eastAsia="楷体" w:cs="仿宋_GB2312"/>
          <w:szCs w:val="32"/>
        </w:rPr>
        <w:t>。</w:t>
      </w:r>
      <w:r>
        <w:rPr>
          <w:rFonts w:hint="eastAsia" w:ascii="仿宋_GB2312"/>
        </w:rPr>
        <w:t>根据《城市蓝线管理办法》，蓝线指规划确定的江、河、湖、库、渠和湿地等城市地表水体保护和控制的地域界线，在总体规划阶段主要确定城市规划区范围内需要保护和控制的主要地表水体，《规划》将中心城区内荔浦河的水域控制线范围纳入城市蓝线进行管控，面积为1.72平方公里，纳入强制性内容。</w:t>
      </w:r>
    </w:p>
    <w:p>
      <w:pPr>
        <w:pStyle w:val="5"/>
        <w:spacing w:before="0" w:after="0"/>
        <w:ind w:firstLine="640"/>
        <w:rPr>
          <w:rFonts w:ascii="楷体_GB2312" w:eastAsia="楷体_GB2312"/>
        </w:rPr>
      </w:pPr>
      <w:r>
        <w:rPr>
          <w:rFonts w:hint="eastAsia" w:ascii="楷体_GB2312" w:eastAsia="楷体_GB2312"/>
        </w:rPr>
        <w:t>城乡公共服务设施配置标准，城镇政策性住房和教育、卫生、养老、文化体育等城乡公共服务设施布局原则和标准。</w:t>
      </w:r>
    </w:p>
    <w:p>
      <w:pPr>
        <w:ind w:firstLine="640"/>
      </w:pPr>
      <w:r>
        <w:rPr>
          <w:rFonts w:ascii="楷体" w:hAnsi="楷体" w:eastAsia="楷体" w:cs="仿宋_GB2312"/>
          <w:szCs w:val="32"/>
        </w:rPr>
        <w:t>关于城乡基本公共服务体系的说明</w:t>
      </w:r>
      <w:r>
        <w:rPr>
          <w:rFonts w:hint="eastAsia" w:ascii="楷体" w:hAnsi="楷体" w:eastAsia="楷体" w:cs="仿宋_GB2312"/>
          <w:szCs w:val="32"/>
        </w:rPr>
        <w:t>。</w:t>
      </w:r>
      <w:r>
        <w:rPr>
          <w:rFonts w:hint="eastAsia" w:ascii="仿宋_GB2312"/>
        </w:rPr>
        <w:t>《规划》提出全市构建“构建“市级-乡镇（街道）-村庄（社区）”三级城乡基本公共服务体系，并纳入强制性内容。并与国家相关标准衔接，市级公共服务设施配置和建设标准参照住房和城乡建设部印发的《城市公共服务设施规划标准GB50442(修订) (征求意见稿)》(以下简称《公服标准》)，乡镇（街道）级、村庄（社区）级公共服务设施配置和建设标准参照《社区生活圈规划技术指南》(TD/T 1062- 2021) (以下简称《生活圈指南》)中的乡集镇和村组层级标准制定。</w:t>
      </w:r>
    </w:p>
    <w:p>
      <w:pPr>
        <w:ind w:firstLine="640"/>
        <w:rPr>
          <w:rFonts w:ascii="仿宋_GB2312"/>
        </w:rPr>
      </w:pPr>
      <w:r>
        <w:rPr>
          <w:rFonts w:ascii="楷体" w:hAnsi="楷体" w:eastAsia="楷体" w:cs="仿宋_GB2312"/>
          <w:szCs w:val="32"/>
        </w:rPr>
        <w:t>关于公共服务设施主要指标的说明</w:t>
      </w:r>
      <w:r>
        <w:rPr>
          <w:rFonts w:hint="eastAsia" w:ascii="楷体" w:hAnsi="楷体" w:eastAsia="楷体" w:cs="仿宋_GB2312"/>
          <w:szCs w:val="32"/>
        </w:rPr>
        <w:t>。</w:t>
      </w:r>
      <w:r>
        <w:rPr>
          <w:rFonts w:hint="eastAsia" w:ascii="仿宋_GB2312"/>
        </w:rPr>
        <w:t>依据《广西壮族自治区养老服务条例》以及荔浦市各行业</w:t>
      </w:r>
      <w:bookmarkStart w:id="25" w:name="_GoBack"/>
      <w:bookmarkEnd w:id="25"/>
      <w:r>
        <w:rPr>
          <w:rFonts w:hint="eastAsia" w:ascii="仿宋_GB2312"/>
        </w:rPr>
        <w:t>‘十四五’专项规划，《规划》明确了公共文化设施的人均建筑面积，医疗卫生机构和残疾人机构的每千人口床位数，养老和体育设施的人均用地面积、卫生、养老、教育、文化、体育等社区公共服务设施15分钟步行可达覆盖率以及公益性公墓覆盖率，并纳入强制性内容。在此基础上，进一步统筹布局中心城区市级及以上重大公共服务设施，并传导至乡镇级规划。</w:t>
      </w:r>
    </w:p>
    <w:p>
      <w:pPr>
        <w:ind w:firstLine="640"/>
        <w:rPr>
          <w:rFonts w:ascii="仿宋_GB2312"/>
        </w:rPr>
      </w:pPr>
      <w:r>
        <w:rPr>
          <w:rFonts w:ascii="楷体" w:hAnsi="楷体" w:eastAsia="楷体" w:cs="仿宋_GB2312"/>
          <w:szCs w:val="32"/>
        </w:rPr>
        <w:t>关于15分钟社区生活圈传导的说明</w:t>
      </w:r>
      <w:r>
        <w:rPr>
          <w:rFonts w:hint="eastAsia" w:ascii="楷体" w:hAnsi="楷体" w:eastAsia="楷体" w:cs="仿宋_GB2312"/>
          <w:szCs w:val="32"/>
        </w:rPr>
        <w:t>。</w:t>
      </w:r>
      <w:r>
        <w:rPr>
          <w:rFonts w:hint="eastAsia" w:ascii="仿宋_GB2312"/>
        </w:rPr>
        <w:t>《规划》制定15分钟社区生活圈教育、养老、医疗卫生、文化、体育5类保障型服务设施配置标准，并纳入强制性内容。同时充分考虑荔浦市自然地理要素、城市道路、行政管理边界、控制性详细规划单元等要素，在中心城区划定3个15分钟街道生活圈与39个5-10分钟社区生活圈，以社区生活圈为单元配置社区级公共服务设施，实现公共服务质量均等化和全覆盖，并作为公共服务设施的管理单元。</w:t>
      </w:r>
    </w:p>
    <w:p>
      <w:pPr>
        <w:ind w:firstLine="640"/>
      </w:pPr>
      <w:r>
        <w:rPr>
          <w:rFonts w:ascii="楷体" w:hAnsi="楷体" w:eastAsia="楷体" w:cs="仿宋_GB2312"/>
          <w:szCs w:val="32"/>
        </w:rPr>
        <w:t>关于住房供应和保障体系的说明</w:t>
      </w:r>
      <w:r>
        <w:rPr>
          <w:rFonts w:hint="eastAsia" w:ascii="楷体" w:hAnsi="楷体" w:eastAsia="楷体" w:cs="仿宋_GB2312"/>
          <w:szCs w:val="32"/>
        </w:rPr>
        <w:t>。</w:t>
      </w:r>
      <w:r>
        <w:rPr>
          <w:rFonts w:hint="eastAsia"/>
        </w:rPr>
        <w:t>《规划》</w:t>
      </w:r>
      <w:r>
        <w:t>明确市域人均城镇住房面积</w:t>
      </w:r>
      <w:r>
        <w:rPr>
          <w:rFonts w:hint="eastAsia"/>
        </w:rPr>
        <w:t>这一</w:t>
      </w:r>
      <w:r>
        <w:t>核心指标，并纳入强制性内容。</w:t>
      </w:r>
      <w:r>
        <w:rPr>
          <w:rFonts w:hint="eastAsia"/>
        </w:rPr>
        <w:t>《规划》提出</w:t>
      </w:r>
      <w:r>
        <w:t>构建多层次住房供需体系</w:t>
      </w:r>
      <w:r>
        <w:rPr>
          <w:rFonts w:hint="eastAsia"/>
        </w:rPr>
        <w:t>，包括将人才计划纳入城市保障住房体系，因地制宜提供适应产业工人的蓝领公寓和高技术人才的白领公寓；增加两限房的供给，吸引农民就地就近市民化；严格控制棚户区新增自建房；控制新增高档商品住房，激活二手房交易市场。</w:t>
      </w:r>
    </w:p>
    <w:p>
      <w:pPr>
        <w:pStyle w:val="5"/>
        <w:spacing w:before="0" w:after="0"/>
        <w:ind w:firstLine="640"/>
        <w:rPr>
          <w:rFonts w:ascii="楷体_GB2312" w:eastAsia="楷体_GB2312"/>
        </w:rPr>
      </w:pPr>
      <w:r>
        <w:rPr>
          <w:rFonts w:hint="eastAsia" w:ascii="楷体_GB2312" w:eastAsia="楷体_GB2312"/>
        </w:rPr>
        <w:t>重大交通枢纽、重要线性工程、城市安全与综合防灾体系、地下空间、邻避设施等设施布局。</w:t>
      </w:r>
    </w:p>
    <w:p>
      <w:pPr>
        <w:ind w:firstLine="640"/>
        <w:rPr>
          <w:rFonts w:ascii="仿宋_GB2312"/>
        </w:rPr>
      </w:pPr>
      <w:r>
        <w:rPr>
          <w:rFonts w:ascii="楷体" w:hAnsi="楷体" w:eastAsia="楷体" w:cs="仿宋_GB2312"/>
          <w:szCs w:val="32"/>
        </w:rPr>
        <w:t>关于城市黄线的说明</w:t>
      </w:r>
      <w:r>
        <w:rPr>
          <w:rFonts w:hint="eastAsia" w:ascii="楷体" w:hAnsi="楷体" w:eastAsia="楷体" w:cs="仿宋_GB2312"/>
          <w:szCs w:val="32"/>
        </w:rPr>
        <w:t>。</w:t>
      </w:r>
      <w:r>
        <w:rPr>
          <w:rFonts w:hint="eastAsia" w:ascii="仿宋_GB2312"/>
        </w:rPr>
        <w:t>将城市铁路客运站、铁路货运站、公交综合场站等交通场站设施的用地边界及给水厂、污水处理厂、220千伏变电站、110千伏变电站、35千伏变电站、天然气门站、天然气调压站、天然气储配站、液化石油气储配站、垃圾处理厂、垃圾转运站、消防站等市政基础设施用地，重要的引水、原水工程管线及两侧控制范围，重要的油气长输管线、电力高压走廊、综合管廊及两侧控制范围划入城市黄线进行管控，并纳入强制性内容。</w:t>
      </w:r>
    </w:p>
    <w:p>
      <w:pPr>
        <w:ind w:firstLine="640"/>
        <w:rPr>
          <w:rFonts w:ascii="仿宋_GB2312"/>
        </w:rPr>
      </w:pPr>
      <w:r>
        <w:rPr>
          <w:rFonts w:ascii="楷体" w:hAnsi="楷体" w:eastAsia="楷体" w:cs="仿宋_GB2312"/>
          <w:szCs w:val="32"/>
        </w:rPr>
        <w:t>关于</w:t>
      </w:r>
      <w:r>
        <w:rPr>
          <w:rFonts w:hint="eastAsia" w:ascii="楷体" w:hAnsi="楷体" w:eastAsia="楷体" w:cs="仿宋_GB2312"/>
          <w:szCs w:val="32"/>
        </w:rPr>
        <w:t>重大</w:t>
      </w:r>
      <w:r>
        <w:rPr>
          <w:rFonts w:ascii="楷体" w:hAnsi="楷体" w:eastAsia="楷体" w:cs="仿宋_GB2312"/>
          <w:szCs w:val="32"/>
        </w:rPr>
        <w:t>交通枢纽的说明</w:t>
      </w:r>
      <w:r>
        <w:rPr>
          <w:rFonts w:hint="eastAsia" w:ascii="楷体" w:hAnsi="楷体" w:eastAsia="楷体" w:cs="仿宋_GB2312"/>
          <w:szCs w:val="32"/>
        </w:rPr>
        <w:t>。</w:t>
      </w:r>
      <w:r>
        <w:rPr>
          <w:rFonts w:hint="eastAsia" w:ascii="仿宋_GB2312"/>
        </w:rPr>
        <w:t>依据《桂林市国土空间总体规划（2021—2035年）》，柳州经贺州至永清广高铁联络线，规划拟设荔浦火车站，选址青山镇永华村。怀湛高铁规划拟设荔浦高铁站，拟选址新坪镇下苏村。</w:t>
      </w:r>
    </w:p>
    <w:p>
      <w:pPr>
        <w:ind w:firstLine="640"/>
        <w:rPr>
          <w:rFonts w:ascii="仿宋_GB2312"/>
        </w:rPr>
      </w:pPr>
      <w:r>
        <w:rPr>
          <w:rFonts w:hint="eastAsia" w:ascii="仿宋_GB2312"/>
        </w:rPr>
        <w:t>《规划》提出2处客运枢纽为对外交通和城市交通衔接服务，包括一级客运站五里综合客运枢纽和二级客运站荔浦汽车站综合客运枢纽，并纳入强制性内容。</w:t>
      </w:r>
    </w:p>
    <w:p>
      <w:pPr>
        <w:ind w:firstLine="640"/>
        <w:rPr>
          <w:rFonts w:ascii="仿宋_GB2312"/>
        </w:rPr>
      </w:pPr>
      <w:r>
        <w:rPr>
          <w:rFonts w:ascii="楷体" w:hAnsi="楷体" w:eastAsia="楷体" w:cs="仿宋_GB2312"/>
          <w:szCs w:val="32"/>
        </w:rPr>
        <w:t>关于重要线性交通网络的说明</w:t>
      </w:r>
      <w:r>
        <w:rPr>
          <w:rFonts w:hint="eastAsia" w:ascii="楷体" w:hAnsi="楷体" w:eastAsia="楷体" w:cs="仿宋_GB2312"/>
          <w:szCs w:val="32"/>
        </w:rPr>
        <w:t>。</w:t>
      </w:r>
      <w:r>
        <w:rPr>
          <w:rFonts w:hint="eastAsia" w:ascii="仿宋_GB2312"/>
        </w:rPr>
        <w:t>依据《桂林市国土空间总体规划（2021—2035年）》，从无到有构建荔浦“十”字形铁路骨架，规划柳州经贺州至永清广高铁联络线和怀湛高铁两条铁路线。规划在现有由阳鹿高速和荔玉高速形成的“丁”字形高速骨架上逐步拓展，形成“四通八达”的高速公路网络，并提出近期分别在荔城镇、新坪镇、龙怀乡、蒲芦瑶族乡形成4个高速出入口；远期增加东昌镇、修仁镇和双江镇3个高速出入口。</w:t>
      </w:r>
    </w:p>
    <w:p>
      <w:pPr>
        <w:ind w:firstLine="640"/>
        <w:rPr>
          <w:rFonts w:ascii="仿宋_GB2312"/>
        </w:rPr>
      </w:pPr>
      <w:r>
        <w:rPr>
          <w:rFonts w:hint="eastAsia" w:ascii="仿宋_GB2312"/>
        </w:rPr>
        <w:t>《规划》提出利用城市外环线实现荔浦市中心城区车辆的客货分流，保留北环线现状，北延跨高速接长水岭工业区园区西路；保留现状南环路，将县道X153提质改造为汇光路，连接南环路成为城市南部主要连接线；保留现状东环路，新建大东环，南起荔玉匝道，北跨高速接长水岭工业区西环路；最终形成“一环、三横、三纵”的城市主干路网；并提出到2035年，规划集中建设区道路网密度达到 8公里/平方公里以上，并纳入强制性内容。</w:t>
      </w:r>
    </w:p>
    <w:p>
      <w:pPr>
        <w:ind w:firstLine="640"/>
      </w:pPr>
      <w:r>
        <w:rPr>
          <w:rFonts w:hint="eastAsia" w:ascii="楷体" w:hAnsi="楷体" w:eastAsia="楷体" w:cs="仿宋_GB2312"/>
          <w:szCs w:val="32"/>
        </w:rPr>
        <w:t>关于供水安全保障的说明。</w:t>
      </w:r>
      <w:r>
        <w:rPr>
          <w:rFonts w:hint="eastAsia" w:ascii="仿宋_GB2312"/>
        </w:rPr>
        <w:t>规划中心城区以大江水库和荔浦河为水源，提升二水厂，同时新建城北自来水厂。城北自来水厂水源以大江水库为水源。二水厂为应急水源，取水点仍位于永华村料潭屯河边，水源为荔浦河，纳入强制性内容。考虑到城乡统筹供水，至2035年，全市共10座给水厂，中心城区2座水厂为乡镇供水预留一定供水能力，其中，荔城镇、马岭镇、新坪镇、青山镇、杜莫镇5镇由中心城区水厂集中供水；其余乡镇各自建设供水厂，分散供水。</w:t>
      </w:r>
    </w:p>
    <w:p>
      <w:pPr>
        <w:ind w:firstLine="640"/>
        <w:rPr>
          <w:rFonts w:ascii="仿宋_GB2312"/>
        </w:rPr>
      </w:pPr>
      <w:r>
        <w:rPr>
          <w:rFonts w:hint="eastAsia" w:ascii="楷体" w:hAnsi="楷体" w:eastAsia="楷体" w:cs="仿宋_GB2312"/>
          <w:szCs w:val="32"/>
        </w:rPr>
        <w:t>关于邻避设施统筹布局的说明。</w:t>
      </w:r>
      <w:r>
        <w:rPr>
          <w:rFonts w:hint="eastAsia" w:ascii="仿宋_GB2312"/>
        </w:rPr>
        <w:t>《规划》提出加快建立荔浦市“村收集、乡镇转运、市（县）处理”的生活垃圾收运处理体系，全市垃圾集中送至阳朔县生态环保科技园进行焚烧发电。规划设置市级垃圾压缩转运站，选址在福泽园公墓北侧。各乡镇新建小型垃圾转运站；农村垃圾通过村收集，乡镇转运到中心城区的垃圾转运站，进行压缩处理。同时，规划新建荔浦市可再生资源循环利用产业园，保留并扩建现状鸟排冲垃圾和五十米街中转站。以上设施纳入强制性内容。</w:t>
      </w:r>
    </w:p>
    <w:p>
      <w:pPr>
        <w:ind w:firstLine="640"/>
        <w:rPr>
          <w:rFonts w:ascii="仿宋_GB2312"/>
        </w:rPr>
      </w:pPr>
      <w:r>
        <w:rPr>
          <w:rFonts w:hint="eastAsia" w:ascii="楷体" w:hAnsi="楷体" w:eastAsia="楷体" w:cs="仿宋_GB2312"/>
          <w:szCs w:val="32"/>
        </w:rPr>
        <w:t>关于城市公共安全与综合防灾体系的说明。</w:t>
      </w:r>
      <w:r>
        <w:rPr>
          <w:rFonts w:hint="eastAsia" w:ascii="仿宋_GB2312"/>
        </w:rPr>
        <w:t>《规划》依据《城市防洪规划规范》（GB51079-2016），根据相关气象、水文、地形、地质等数据，确定了城市防洪排涝标准，内涝防治设计重现期以及预警和应急等控制措施。《规划》提出了城乡应急避难场所体系、综合应急物资储备场地及全市人均应急避难场所面积指标。依据《城市消防站建设标准》（建标152-2011），《规划》构建完善的综合救援消防体系，明确消防设施的数量及位置。《规划》依据《城市抗震防灾规划标准》（GB50413-2017）提出了抗震设防烈度和构建人防工程体系，明确了人均人防隐蔽面积指标。以上内容纳入强制性内容。</w:t>
      </w:r>
    </w:p>
    <w:p>
      <w:pPr>
        <w:ind w:firstLine="640"/>
        <w:rPr>
          <w:rFonts w:ascii="仿宋_GB2312"/>
        </w:rPr>
      </w:pPr>
      <w:r>
        <w:rPr>
          <w:rFonts w:hint="eastAsia" w:ascii="楷体" w:hAnsi="楷体" w:eastAsia="楷体" w:cs="仿宋_GB2312"/>
          <w:szCs w:val="32"/>
        </w:rPr>
        <w:t>关于中心城区地下空间的说明。</w:t>
      </w:r>
      <w:r>
        <w:rPr>
          <w:rFonts w:hint="eastAsia" w:ascii="仿宋_GB2312"/>
        </w:rPr>
        <w:t>《规划》依据《城市地下空间规划标准》(GB/T 51358-一2019)，综合考虑城市发展水平、用地条件和人口规模、地下空间资源分布利用等因素，提出中心城区地下开发利用重点片区和地下空间总规模2项指标，并纳入强制性内容。</w:t>
      </w:r>
    </w:p>
    <w:p>
      <w:pPr>
        <w:ind w:firstLine="640"/>
        <w:sectPr>
          <w:pgSz w:w="11906" w:h="16838"/>
          <w:pgMar w:top="1440" w:right="1800" w:bottom="1440" w:left="1800" w:header="851" w:footer="992" w:gutter="0"/>
          <w:cols w:space="425" w:num="1"/>
          <w:docGrid w:type="lines" w:linePitch="326" w:charSpace="0"/>
        </w:sectPr>
      </w:pPr>
    </w:p>
    <w:p>
      <w:pPr>
        <w:pStyle w:val="2"/>
        <w:ind w:left="0" w:firstLine="720" w:firstLineChars="200"/>
        <w:rPr>
          <w:rFonts w:ascii="方正小标宋_GBK" w:eastAsia="方正小标宋_GBK"/>
          <w:b w:val="0"/>
          <w:bCs w:val="0"/>
          <w:sz w:val="36"/>
          <w:szCs w:val="36"/>
        </w:rPr>
      </w:pPr>
      <w:bookmarkStart w:id="19" w:name="_Toc157018465"/>
      <w:r>
        <w:rPr>
          <w:rFonts w:hint="eastAsia" w:ascii="方正小标宋_GBK" w:eastAsia="方正小标宋_GBK"/>
          <w:b w:val="0"/>
          <w:bCs w:val="0"/>
          <w:sz w:val="36"/>
          <w:szCs w:val="36"/>
        </w:rPr>
        <w:t>其他需要说明的事项</w:t>
      </w:r>
      <w:bookmarkEnd w:id="19"/>
    </w:p>
    <w:p>
      <w:pPr>
        <w:pStyle w:val="3"/>
        <w:numPr>
          <w:ilvl w:val="0"/>
          <w:numId w:val="26"/>
        </w:numPr>
        <w:ind w:left="0" w:firstLine="643" w:firstLineChars="200"/>
      </w:pPr>
      <w:bookmarkStart w:id="20" w:name="_Toc157018466"/>
      <w:r>
        <w:t>规划公示和审核论证意见采纳修改情况</w:t>
      </w:r>
      <w:bookmarkEnd w:id="20"/>
    </w:p>
    <w:p>
      <w:pPr>
        <w:pStyle w:val="4"/>
        <w:numPr>
          <w:ilvl w:val="0"/>
          <w:numId w:val="27"/>
        </w:numPr>
        <w:ind w:left="0" w:firstLine="640"/>
      </w:pPr>
      <w:r>
        <w:rPr>
          <w:rFonts w:hint="eastAsia"/>
        </w:rPr>
        <w:t>多部门联动</w:t>
      </w:r>
    </w:p>
    <w:p>
      <w:pPr>
        <w:pStyle w:val="5"/>
        <w:numPr>
          <w:ilvl w:val="0"/>
          <w:numId w:val="28"/>
        </w:numPr>
        <w:spacing w:before="0" w:after="0"/>
        <w:ind w:firstLine="640"/>
        <w:rPr>
          <w:rFonts w:ascii="楷体_GB2312" w:eastAsia="楷体_GB2312"/>
        </w:rPr>
      </w:pPr>
      <w:r>
        <w:rPr>
          <w:rFonts w:hint="eastAsia" w:ascii="楷体_GB2312" w:eastAsia="楷体_GB2312"/>
        </w:rPr>
        <w:t>重点建设项目收集</w:t>
      </w:r>
    </w:p>
    <w:p>
      <w:pPr>
        <w:ind w:firstLine="640"/>
        <w:rPr>
          <w:rFonts w:ascii="仿宋_GB2312"/>
        </w:rPr>
      </w:pPr>
      <w:r>
        <w:rPr>
          <w:rFonts w:hint="eastAsia" w:ascii="仿宋_GB2312"/>
        </w:rPr>
        <w:t>荔浦市国土空间总体规划至编制工作开展以来，共开展了数十轮的重点建设项目征集工作，汇总了荔浦市各市直单位、乡（镇）等多部门的规划重点建设项目，形成项目总数达300多个的重点建设项目资料（含矢量图层和项目清单），涵盖交通、水利、能源、民生、旅游、商贸、工业等多个领域，并由技术联合团队结合各部门需求对重点建设项目资料进行实时更新。重点建设项目的收集梳理充分衔接了各利益主体的发展诉求。</w:t>
      </w:r>
    </w:p>
    <w:p>
      <w:pPr>
        <w:pStyle w:val="5"/>
        <w:spacing w:before="0" w:after="0"/>
        <w:ind w:firstLine="640"/>
        <w:rPr>
          <w:rFonts w:ascii="楷体_GB2312" w:eastAsia="楷体_GB2312"/>
        </w:rPr>
      </w:pPr>
      <w:r>
        <w:rPr>
          <w:rFonts w:hint="eastAsia" w:ascii="楷体_GB2312" w:eastAsia="楷体_GB2312"/>
        </w:rPr>
        <w:t>专题会议</w:t>
      </w:r>
    </w:p>
    <w:p>
      <w:pPr>
        <w:ind w:firstLine="640"/>
        <w:rPr>
          <w:rFonts w:ascii="仿宋_GB2312"/>
        </w:rPr>
      </w:pPr>
      <w:r>
        <w:rPr>
          <w:rFonts w:hint="eastAsia" w:ascii="仿宋_GB2312"/>
        </w:rPr>
        <w:t>国土空间总体规划是将主体功能区规划、土地利用规划、城乡规划等空间规划融合的“多规合一”总体规划，为提高规划的合理性、科学性，准确反映交通、水利、林业等多方诉求，《规划》编制过程中，荔浦市自然资源局多次组织相关单位结合实时工作（如：“三区三线”划定、规划定位等）需求召开专题研究会议，共同有效推进规划编制。</w:t>
      </w:r>
    </w:p>
    <w:p>
      <w:pPr>
        <w:pStyle w:val="5"/>
        <w:spacing w:before="0" w:after="0"/>
        <w:ind w:firstLine="640"/>
        <w:rPr>
          <w:rFonts w:ascii="楷体_GB2312" w:eastAsia="楷体_GB2312"/>
        </w:rPr>
      </w:pPr>
      <w:r>
        <w:rPr>
          <w:rFonts w:hint="eastAsia" w:ascii="楷体_GB2312" w:eastAsia="楷体_GB2312"/>
        </w:rPr>
        <w:t>部门征求意见</w:t>
      </w:r>
    </w:p>
    <w:p>
      <w:pPr>
        <w:ind w:firstLine="640"/>
        <w:rPr>
          <w:rFonts w:ascii="仿宋_GB2312"/>
        </w:rPr>
      </w:pPr>
      <w:r>
        <w:rPr>
          <w:rFonts w:hint="eastAsia" w:ascii="仿宋_GB2312"/>
        </w:rPr>
        <w:t>荔浦市自然资源局于2023年4月10日完成各个乡镇部门征求意见。经汇总各乡镇部门共计提出意见100条。其中共采纳意见19条，并依据所提出意见做出了相应的修改；未采纳意见3条，并给出相关的法律、政策依据；建议加入重点项目清单的意见建议72条，均在修改后予以加入了重点项目清单中。</w:t>
      </w:r>
    </w:p>
    <w:p>
      <w:pPr>
        <w:pStyle w:val="4"/>
        <w:numPr>
          <w:ilvl w:val="0"/>
          <w:numId w:val="27"/>
        </w:numPr>
        <w:ind w:left="0" w:firstLine="640"/>
      </w:pPr>
      <w:r>
        <w:rPr>
          <w:rFonts w:hint="eastAsia"/>
        </w:rPr>
        <w:t>公众参与</w:t>
      </w:r>
    </w:p>
    <w:p>
      <w:pPr>
        <w:pStyle w:val="5"/>
        <w:numPr>
          <w:ilvl w:val="0"/>
          <w:numId w:val="29"/>
        </w:numPr>
        <w:spacing w:before="0" w:after="0"/>
        <w:ind w:firstLine="640"/>
        <w:rPr>
          <w:rFonts w:ascii="楷体_GB2312" w:eastAsia="楷体_GB2312"/>
        </w:rPr>
      </w:pPr>
      <w:r>
        <w:rPr>
          <w:rFonts w:hint="eastAsia" w:ascii="楷体_GB2312" w:eastAsia="楷体_GB2312"/>
        </w:rPr>
        <w:t>公众意见征询</w:t>
      </w:r>
    </w:p>
    <w:p>
      <w:pPr>
        <w:ind w:firstLine="640"/>
        <w:rPr>
          <w:rFonts w:ascii="仿宋_GB2312"/>
        </w:rPr>
      </w:pPr>
      <w:r>
        <w:rPr>
          <w:rFonts w:hint="eastAsia" w:ascii="仿宋_GB2312"/>
        </w:rPr>
        <w:t>2019年9-12月，荔浦市国土空间规划编制团队通过微信平台和线下发放问卷，公开征求居民对荔浦市交通、市政、公服、居住环境等方面的现状满意度以及规划诉求，共收集有效问卷2815份。为确定专题研究方向，拟定城市性质及发展目标，明确区域协同策略奠定了扎实的基础。</w:t>
      </w:r>
    </w:p>
    <w:p>
      <w:pPr>
        <w:pStyle w:val="5"/>
        <w:spacing w:before="0" w:after="0"/>
        <w:ind w:firstLine="640"/>
        <w:rPr>
          <w:rFonts w:ascii="楷体_GB2312" w:eastAsia="楷体_GB2312"/>
        </w:rPr>
      </w:pPr>
      <w:r>
        <w:rPr>
          <w:rFonts w:hint="eastAsia" w:ascii="楷体_GB2312" w:eastAsia="楷体_GB2312"/>
        </w:rPr>
        <w:t>规划公示</w:t>
      </w:r>
    </w:p>
    <w:p>
      <w:pPr>
        <w:ind w:firstLine="640"/>
        <w:rPr>
          <w:rFonts w:ascii="仿宋_GB2312"/>
        </w:rPr>
      </w:pPr>
      <w:r>
        <w:rPr>
          <w:rFonts w:hint="eastAsia" w:ascii="仿宋_GB2312"/>
        </w:rPr>
        <w:t>为充分征求社会各界意见，集中民智，反映民意，公开透明地做好国土空间总体规划编制工作，荔浦市自然资源局于2023年3月20日起至2023年4月19日在荔浦市人民政府门户网站: http://www. lipu.gov.cn/和邮箱：lipuzrzyj@guilin.gov.cn发布《荔浦市国土空间总体规划（2021-2035 年）（公众征求意见稿）》，开展为期 31天的公示，凝聚公众智慧，提高《规划》科学性，可实施性。截止公示期结束没有在网上和以邮寄方式收到意见和建议。</w:t>
      </w:r>
    </w:p>
    <w:p>
      <w:pPr>
        <w:pStyle w:val="4"/>
        <w:numPr>
          <w:ilvl w:val="0"/>
          <w:numId w:val="27"/>
        </w:numPr>
        <w:ind w:left="0" w:firstLine="640"/>
      </w:pPr>
      <w:r>
        <w:rPr>
          <w:rFonts w:hint="eastAsia"/>
        </w:rPr>
        <w:t>专家评审论证</w:t>
      </w:r>
    </w:p>
    <w:p>
      <w:pPr>
        <w:ind w:firstLine="640"/>
        <w:rPr>
          <w:rFonts w:ascii="仿宋_GB2312"/>
        </w:rPr>
      </w:pPr>
      <w:r>
        <w:rPr>
          <w:rFonts w:hint="eastAsia" w:ascii="仿宋_GB2312"/>
        </w:rPr>
        <w:t>2021年11月，按照自治区自然资源厅要求，荔浦市自然资源局组织召开了第一次专家技术评审会。评审专家组听取了成果汇报，审阅了相关资料，经质询和讨论，原则同意《规划》通过评审。</w:t>
      </w:r>
    </w:p>
    <w:p>
      <w:pPr>
        <w:ind w:firstLine="640"/>
        <w:rPr>
          <w:rFonts w:ascii="仿宋_GB2312"/>
        </w:rPr>
      </w:pPr>
      <w:r>
        <w:rPr>
          <w:rFonts w:hint="eastAsia" w:ascii="仿宋_GB2312"/>
        </w:rPr>
        <w:t>2023年4月25日，荔浦市自然资源局组织召开了第二次专家技术评审会。评审专家组听取了成果汇报，经质询和讨论，同意《规划》通过评审。</w:t>
      </w:r>
    </w:p>
    <w:p>
      <w:pPr>
        <w:pStyle w:val="4"/>
        <w:numPr>
          <w:ilvl w:val="0"/>
          <w:numId w:val="30"/>
        </w:numPr>
        <w:spacing w:before="0" w:after="0"/>
        <w:ind w:firstLine="640"/>
      </w:pPr>
      <w:r>
        <w:rPr>
          <w:rFonts w:hint="eastAsia"/>
        </w:rPr>
        <w:t>规划审查审议</w:t>
      </w:r>
    </w:p>
    <w:p>
      <w:pPr>
        <w:ind w:firstLine="640"/>
        <w:rPr>
          <w:rFonts w:ascii="仿宋_GB2312" w:hAnsi="Times New Roman" w:cs="Times New Roman"/>
          <w:bCs/>
          <w:szCs w:val="30"/>
        </w:rPr>
      </w:pPr>
      <w:r>
        <w:rPr>
          <w:rFonts w:hint="eastAsia" w:ascii="仿宋_GB2312" w:hAnsi="Times New Roman" w:cs="Times New Roman"/>
          <w:bCs/>
          <w:szCs w:val="30"/>
        </w:rPr>
        <w:t>2023年4月18日，市政府召开市政府常务会</w:t>
      </w:r>
      <w:r>
        <w:rPr>
          <w:rFonts w:hint="eastAsia" w:ascii="仿宋_GB2312" w:hAnsi="Times New Roman" w:cs="Times New Roman"/>
          <w:bCs/>
          <w:szCs w:val="30"/>
          <w:lang w:eastAsia="zh-CN"/>
        </w:rPr>
        <w:t>议</w:t>
      </w:r>
      <w:r>
        <w:rPr>
          <w:rFonts w:hint="eastAsia" w:ascii="仿宋_GB2312" w:hAnsi="Times New Roman" w:cs="Times New Roman"/>
          <w:bCs/>
          <w:szCs w:val="30"/>
        </w:rPr>
        <w:t>，审议通过了《规划》。</w:t>
      </w:r>
    </w:p>
    <w:p>
      <w:pPr>
        <w:ind w:firstLine="640"/>
        <w:rPr>
          <w:rFonts w:ascii="仿宋_GB2312" w:hAnsi="Times New Roman" w:cs="Times New Roman"/>
          <w:bCs/>
          <w:szCs w:val="30"/>
        </w:rPr>
      </w:pPr>
      <w:r>
        <w:rPr>
          <w:rFonts w:hint="eastAsia" w:ascii="仿宋_GB2312" w:hAnsi="Times New Roman" w:cs="Times New Roman"/>
          <w:bCs/>
          <w:szCs w:val="30"/>
        </w:rPr>
        <w:t>2023年5月19日，市委、市政府召开市委</w:t>
      </w:r>
      <w:r>
        <w:rPr>
          <w:rFonts w:hint="eastAsia" w:ascii="仿宋_GB2312" w:hAnsi="Times New Roman" w:cs="Times New Roman"/>
          <w:bCs/>
          <w:szCs w:val="30"/>
          <w:lang w:eastAsia="zh-CN"/>
        </w:rPr>
        <w:t>、</w:t>
      </w:r>
      <w:r>
        <w:rPr>
          <w:rFonts w:hint="eastAsia" w:ascii="仿宋_GB2312" w:hAnsi="Times New Roman" w:cs="Times New Roman"/>
          <w:bCs/>
          <w:szCs w:val="30"/>
        </w:rPr>
        <w:t>市政府常务（扩大）会议，审议通过了《规划》。</w:t>
      </w:r>
    </w:p>
    <w:p>
      <w:pPr>
        <w:ind w:firstLine="640"/>
        <w:rPr>
          <w:rFonts w:ascii="仿宋_GB2312"/>
        </w:rPr>
      </w:pPr>
      <w:r>
        <w:rPr>
          <w:rFonts w:hint="eastAsia" w:ascii="仿宋_GB2312" w:hAnsi="Times New Roman" w:cs="Times New Roman"/>
          <w:bCs/>
          <w:szCs w:val="30"/>
        </w:rPr>
        <w:t>2023年5月29日，荔浦市第二届人民代表大会常务委员会第十五次会议审议并通过了《规划》。</w:t>
      </w:r>
    </w:p>
    <w:p>
      <w:pPr>
        <w:pStyle w:val="3"/>
        <w:numPr>
          <w:ilvl w:val="0"/>
          <w:numId w:val="26"/>
        </w:numPr>
        <w:ind w:left="0" w:firstLine="643" w:firstLineChars="200"/>
      </w:pPr>
      <w:bookmarkStart w:id="21" w:name="_Toc157018467"/>
      <w:r>
        <w:rPr>
          <w:rFonts w:hint="eastAsia"/>
        </w:rPr>
        <w:t>相关专项规划和相邻城市规划衔接情况</w:t>
      </w:r>
      <w:bookmarkEnd w:id="21"/>
    </w:p>
    <w:p>
      <w:pPr>
        <w:pStyle w:val="4"/>
        <w:numPr>
          <w:ilvl w:val="0"/>
          <w:numId w:val="31"/>
        </w:numPr>
        <w:ind w:left="0" w:firstLine="640"/>
      </w:pPr>
      <w:r>
        <w:rPr>
          <w:rFonts w:hint="eastAsia"/>
        </w:rPr>
        <w:t>相关专项规划衔接情况</w:t>
      </w:r>
    </w:p>
    <w:p>
      <w:pPr>
        <w:ind w:firstLine="640"/>
        <w:rPr>
          <w:rFonts w:ascii="仿宋_GB2312"/>
        </w:rPr>
      </w:pPr>
      <w:r>
        <w:rPr>
          <w:rFonts w:hint="eastAsia" w:ascii="仿宋_GB2312"/>
        </w:rPr>
        <w:t>《规划》衔接了自治区、桂林市、荔浦市的交通、水利、农业农村、生态环境、林业和草原、水安全保障、文化和旅游、文物保护、乡村建设、地质灾害防治、防灾减灾、教育体育、产业体系等相关专项规划。</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119"/>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gridSpan w:val="3"/>
          </w:tcPr>
          <w:p>
            <w:pPr>
              <w:pStyle w:val="57"/>
              <w:spacing w:before="163" w:after="163"/>
            </w:pPr>
            <w:r>
              <w:rPr>
                <w:rFonts w:hint="eastAsia"/>
              </w:rPr>
              <w:t>相关规划衔接一览表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restart"/>
          </w:tcPr>
          <w:p>
            <w:pPr>
              <w:pStyle w:val="64"/>
              <w:rPr>
                <w:rFonts w:ascii="仿宋_GB2312"/>
                <w:szCs w:val="21"/>
              </w:rPr>
            </w:pPr>
            <w:r>
              <w:rPr>
                <w:rFonts w:hint="eastAsia" w:ascii="仿宋_GB2312"/>
                <w:szCs w:val="21"/>
              </w:rPr>
              <w:t>自治区级相关规划</w:t>
            </w:r>
          </w:p>
        </w:tc>
        <w:tc>
          <w:tcPr>
            <w:tcW w:w="3119" w:type="dxa"/>
          </w:tcPr>
          <w:p>
            <w:pPr>
              <w:pStyle w:val="64"/>
              <w:rPr>
                <w:rFonts w:ascii="仿宋_GB2312"/>
                <w:szCs w:val="21"/>
              </w:rPr>
            </w:pPr>
            <w:r>
              <w:rPr>
                <w:rFonts w:hint="eastAsia" w:ascii="仿宋_GB2312"/>
                <w:szCs w:val="21"/>
              </w:rPr>
              <w:t>相关规划名称</w:t>
            </w:r>
          </w:p>
        </w:tc>
        <w:tc>
          <w:tcPr>
            <w:tcW w:w="4048" w:type="dxa"/>
          </w:tcPr>
          <w:p>
            <w:pPr>
              <w:pStyle w:val="64"/>
              <w:rPr>
                <w:rFonts w:ascii="仿宋_GB2312"/>
                <w:szCs w:val="21"/>
              </w:rPr>
            </w:pPr>
            <w:r>
              <w:rPr>
                <w:rFonts w:hint="eastAsia" w:ascii="仿宋_GB2312"/>
                <w:szCs w:val="21"/>
              </w:rPr>
              <w:t>规划衔接重点内容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广西壮族自治区国民经济和社会发展第十四个五年规划和2035年远景目标纲要</w:t>
            </w:r>
          </w:p>
        </w:tc>
        <w:tc>
          <w:tcPr>
            <w:tcW w:w="4048" w:type="dxa"/>
          </w:tcPr>
          <w:p>
            <w:pPr>
              <w:pStyle w:val="64"/>
              <w:rPr>
                <w:rFonts w:ascii="仿宋_GB2312"/>
                <w:szCs w:val="21"/>
              </w:rPr>
            </w:pPr>
            <w:r>
              <w:rPr>
                <w:rFonts w:hint="eastAsia" w:ascii="仿宋_GB2312"/>
                <w:szCs w:val="21"/>
              </w:rPr>
              <w:t>广西壮族自治区经济社会发展目标的衔接和落实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广西壮族自治区国土空间总体规划（2021-2035）</w:t>
            </w:r>
          </w:p>
        </w:tc>
        <w:tc>
          <w:tcPr>
            <w:tcW w:w="4048" w:type="dxa"/>
          </w:tcPr>
          <w:p>
            <w:pPr>
              <w:pStyle w:val="64"/>
              <w:rPr>
                <w:rFonts w:ascii="仿宋_GB2312"/>
                <w:szCs w:val="21"/>
              </w:rPr>
            </w:pPr>
            <w:r>
              <w:rPr>
                <w:rFonts w:hint="eastAsia" w:ascii="仿宋_GB2312"/>
                <w:szCs w:val="21"/>
              </w:rPr>
              <w:t>主体功能定位、生态空间、农业空间、城镇体系等核心内容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广西能源发展“十四五”规划</w:t>
            </w:r>
          </w:p>
        </w:tc>
        <w:tc>
          <w:tcPr>
            <w:tcW w:w="4048" w:type="dxa"/>
          </w:tcPr>
          <w:p>
            <w:pPr>
              <w:pStyle w:val="64"/>
              <w:rPr>
                <w:rFonts w:ascii="仿宋_GB2312"/>
                <w:szCs w:val="21"/>
              </w:rPr>
            </w:pPr>
            <w:r>
              <w:rPr>
                <w:rFonts w:hint="eastAsia" w:ascii="仿宋_GB2312"/>
                <w:szCs w:val="21"/>
              </w:rPr>
              <w:t>电网布局和油气管廊的衔接和落实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广西壮族自治区国土空间生态修复规划(2021-2035年）</w:t>
            </w:r>
          </w:p>
        </w:tc>
        <w:tc>
          <w:tcPr>
            <w:tcW w:w="4048" w:type="dxa"/>
          </w:tcPr>
          <w:p>
            <w:pPr>
              <w:pStyle w:val="64"/>
              <w:rPr>
                <w:rFonts w:ascii="仿宋_GB2312"/>
                <w:szCs w:val="21"/>
              </w:rPr>
            </w:pPr>
            <w:r>
              <w:rPr>
                <w:rFonts w:hint="eastAsia" w:ascii="仿宋_GB2312"/>
                <w:szCs w:val="21"/>
              </w:rPr>
              <w:t>生态修复和全域整治相关内容的相结合落实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restart"/>
          </w:tcPr>
          <w:p>
            <w:pPr>
              <w:pStyle w:val="64"/>
              <w:rPr>
                <w:rFonts w:ascii="仿宋_GB2312"/>
                <w:szCs w:val="21"/>
              </w:rPr>
            </w:pPr>
            <w:r>
              <w:rPr>
                <w:rFonts w:hint="eastAsia" w:ascii="仿宋_GB2312"/>
                <w:szCs w:val="21"/>
              </w:rPr>
              <w:t>桂林市级相关规划</w:t>
            </w:r>
          </w:p>
        </w:tc>
        <w:tc>
          <w:tcPr>
            <w:tcW w:w="3119" w:type="dxa"/>
          </w:tcPr>
          <w:p>
            <w:pPr>
              <w:pStyle w:val="64"/>
              <w:rPr>
                <w:rFonts w:ascii="仿宋_GB2312"/>
                <w:szCs w:val="21"/>
              </w:rPr>
            </w:pPr>
            <w:r>
              <w:rPr>
                <w:rFonts w:hint="eastAsia" w:ascii="仿宋_GB2312"/>
                <w:szCs w:val="21"/>
              </w:rPr>
              <w:t>桂林市国民经济和社会发展第十四个五年规划和2035年远景目标纲要</w:t>
            </w:r>
          </w:p>
        </w:tc>
        <w:tc>
          <w:tcPr>
            <w:tcW w:w="4048" w:type="dxa"/>
          </w:tcPr>
          <w:p>
            <w:pPr>
              <w:pStyle w:val="64"/>
              <w:rPr>
                <w:rFonts w:ascii="仿宋_GB2312"/>
                <w:szCs w:val="21"/>
              </w:rPr>
            </w:pPr>
            <w:r>
              <w:rPr>
                <w:rFonts w:hint="eastAsia" w:ascii="仿宋_GB2312"/>
                <w:szCs w:val="21"/>
              </w:rPr>
              <w:t>桂林市经济社会发展目标的衔接和落实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桂林市国土空间总体规划（2021-2035）</w:t>
            </w:r>
          </w:p>
        </w:tc>
        <w:tc>
          <w:tcPr>
            <w:tcW w:w="4048" w:type="dxa"/>
          </w:tcPr>
          <w:p>
            <w:pPr>
              <w:pStyle w:val="64"/>
              <w:rPr>
                <w:rFonts w:ascii="仿宋_GB2312"/>
                <w:szCs w:val="21"/>
              </w:rPr>
            </w:pPr>
            <w:r>
              <w:rPr>
                <w:rFonts w:hint="eastAsia" w:ascii="仿宋_GB2312"/>
                <w:szCs w:val="21"/>
              </w:rPr>
              <w:t>城镇空间、荔浦市城镇指引、产业发展、农业空间、魅力空间等内容的衔接和落实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桂林人口与城镇化专题研究</w:t>
            </w:r>
          </w:p>
        </w:tc>
        <w:tc>
          <w:tcPr>
            <w:tcW w:w="4048" w:type="dxa"/>
          </w:tcPr>
          <w:p>
            <w:pPr>
              <w:pStyle w:val="64"/>
              <w:rPr>
                <w:rFonts w:ascii="仿宋_GB2312"/>
                <w:szCs w:val="21"/>
              </w:rPr>
            </w:pPr>
            <w:r>
              <w:rPr>
                <w:rFonts w:hint="eastAsia" w:ascii="仿宋_GB2312"/>
                <w:szCs w:val="21"/>
              </w:rPr>
              <w:t>人口规模和城镇化率的衔接和落实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桂林市城镇开发边界研究专题研究</w:t>
            </w:r>
          </w:p>
        </w:tc>
        <w:tc>
          <w:tcPr>
            <w:tcW w:w="4048" w:type="dxa"/>
          </w:tcPr>
          <w:p>
            <w:pPr>
              <w:pStyle w:val="64"/>
              <w:rPr>
                <w:rFonts w:ascii="仿宋_GB2312"/>
                <w:szCs w:val="21"/>
              </w:rPr>
            </w:pPr>
            <w:r>
              <w:rPr>
                <w:rFonts w:hint="eastAsia" w:ascii="仿宋_GB2312"/>
                <w:szCs w:val="21"/>
              </w:rPr>
              <w:t>城镇开发边界划定的衔接和落实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桂林市综合交通运输发展“十四五”规划</w:t>
            </w:r>
          </w:p>
        </w:tc>
        <w:tc>
          <w:tcPr>
            <w:tcW w:w="4048" w:type="dxa"/>
          </w:tcPr>
          <w:p>
            <w:pPr>
              <w:pStyle w:val="64"/>
              <w:rPr>
                <w:rFonts w:ascii="仿宋_GB2312"/>
                <w:szCs w:val="21"/>
              </w:rPr>
            </w:pPr>
            <w:r>
              <w:rPr>
                <w:rFonts w:hint="eastAsia" w:ascii="仿宋_GB2312"/>
                <w:szCs w:val="21"/>
              </w:rPr>
              <w:t>市域综合交通枢纽及线性交通网络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桂林市新型城镇化规划（2021—2035年）</w:t>
            </w:r>
          </w:p>
        </w:tc>
        <w:tc>
          <w:tcPr>
            <w:tcW w:w="4048" w:type="dxa"/>
          </w:tcPr>
          <w:p>
            <w:pPr>
              <w:pStyle w:val="64"/>
              <w:rPr>
                <w:rFonts w:ascii="仿宋_GB2312"/>
                <w:szCs w:val="21"/>
              </w:rPr>
            </w:pPr>
            <w:r>
              <w:rPr>
                <w:rFonts w:hint="eastAsia" w:ascii="仿宋_GB2312"/>
                <w:szCs w:val="21"/>
              </w:rPr>
              <w:t>新型城镇化相关内容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桂林市农业农村经济及乡村振兴“十四五”规划</w:t>
            </w:r>
          </w:p>
        </w:tc>
        <w:tc>
          <w:tcPr>
            <w:tcW w:w="4048" w:type="dxa"/>
          </w:tcPr>
          <w:p>
            <w:pPr>
              <w:pStyle w:val="64"/>
              <w:rPr>
                <w:rFonts w:ascii="仿宋_GB2312"/>
                <w:szCs w:val="21"/>
              </w:rPr>
            </w:pPr>
            <w:r>
              <w:rPr>
                <w:rFonts w:hint="eastAsia" w:ascii="仿宋_GB2312"/>
                <w:szCs w:val="21"/>
              </w:rPr>
              <w:t>建设农业现代化和乡村振兴相关内容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桂林市普通高中和特殊教育学校布局规划（2021-2030年）</w:t>
            </w:r>
          </w:p>
        </w:tc>
        <w:tc>
          <w:tcPr>
            <w:tcW w:w="4048" w:type="dxa"/>
          </w:tcPr>
          <w:p>
            <w:pPr>
              <w:pStyle w:val="64"/>
              <w:rPr>
                <w:rFonts w:ascii="仿宋_GB2312"/>
                <w:szCs w:val="21"/>
              </w:rPr>
            </w:pPr>
            <w:r>
              <w:rPr>
                <w:rFonts w:hint="eastAsia" w:ascii="仿宋_GB2312"/>
                <w:szCs w:val="21"/>
              </w:rPr>
              <w:t>普通高中和特殊教育学校的规划设置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桂林市水安全保障“十四五”规划</w:t>
            </w:r>
          </w:p>
        </w:tc>
        <w:tc>
          <w:tcPr>
            <w:tcW w:w="4048" w:type="dxa"/>
          </w:tcPr>
          <w:p>
            <w:pPr>
              <w:pStyle w:val="64"/>
              <w:rPr>
                <w:rFonts w:ascii="仿宋_GB2312"/>
                <w:szCs w:val="21"/>
              </w:rPr>
            </w:pPr>
            <w:r>
              <w:rPr>
                <w:rFonts w:hint="eastAsia" w:ascii="仿宋_GB2312"/>
                <w:szCs w:val="21"/>
              </w:rPr>
              <w:t>水资源调配和水利工程建设的衔接和落实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restart"/>
          </w:tcPr>
          <w:p>
            <w:pPr>
              <w:pStyle w:val="64"/>
              <w:rPr>
                <w:rFonts w:ascii="仿宋_GB2312"/>
                <w:szCs w:val="21"/>
              </w:rPr>
            </w:pPr>
            <w:r>
              <w:rPr>
                <w:rFonts w:hint="eastAsia" w:ascii="仿宋_GB2312"/>
                <w:szCs w:val="21"/>
              </w:rPr>
              <w:t>荔浦市相关专项规划</w:t>
            </w:r>
          </w:p>
        </w:tc>
        <w:tc>
          <w:tcPr>
            <w:tcW w:w="3119" w:type="dxa"/>
          </w:tcPr>
          <w:p>
            <w:pPr>
              <w:pStyle w:val="64"/>
              <w:rPr>
                <w:rFonts w:ascii="仿宋_GB2312"/>
                <w:szCs w:val="21"/>
              </w:rPr>
            </w:pPr>
            <w:r>
              <w:rPr>
                <w:rFonts w:hint="eastAsia" w:ascii="仿宋_GB2312"/>
                <w:szCs w:val="21"/>
              </w:rPr>
              <w:t>荔浦市国民经济和社会发展第十四个五年规划和2035年远景目标纲要</w:t>
            </w:r>
          </w:p>
        </w:tc>
        <w:tc>
          <w:tcPr>
            <w:tcW w:w="4048" w:type="dxa"/>
          </w:tcPr>
          <w:p>
            <w:pPr>
              <w:pStyle w:val="64"/>
              <w:rPr>
                <w:rFonts w:ascii="仿宋_GB2312"/>
                <w:szCs w:val="21"/>
              </w:rPr>
            </w:pPr>
            <w:r>
              <w:rPr>
                <w:rFonts w:hint="eastAsia" w:ascii="仿宋_GB2312"/>
                <w:szCs w:val="21"/>
              </w:rPr>
              <w:t>荔浦市经济社会发展目标的衔接和落实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荔浦市综合交通运输发展“十四五”规划</w:t>
            </w:r>
          </w:p>
        </w:tc>
        <w:tc>
          <w:tcPr>
            <w:tcW w:w="4048" w:type="dxa"/>
          </w:tcPr>
          <w:p>
            <w:pPr>
              <w:pStyle w:val="64"/>
              <w:rPr>
                <w:rFonts w:ascii="仿宋_GB2312"/>
                <w:szCs w:val="21"/>
              </w:rPr>
            </w:pPr>
            <w:r>
              <w:rPr>
                <w:rFonts w:hint="eastAsia" w:ascii="仿宋_GB2312"/>
                <w:szCs w:val="21"/>
              </w:rPr>
              <w:t>综合交通格局和枢纽建设内容，以及铁路、公路、交通基础设施、物流设施等重点建设项目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荔浦市教育局“十四五”规划</w:t>
            </w:r>
          </w:p>
        </w:tc>
        <w:tc>
          <w:tcPr>
            <w:tcW w:w="4048" w:type="dxa"/>
          </w:tcPr>
          <w:p>
            <w:pPr>
              <w:pStyle w:val="64"/>
              <w:rPr>
                <w:rFonts w:ascii="仿宋_GB2312"/>
                <w:szCs w:val="21"/>
              </w:rPr>
            </w:pPr>
            <w:r>
              <w:rPr>
                <w:rFonts w:hint="eastAsia" w:ascii="仿宋_GB2312"/>
                <w:szCs w:val="21"/>
              </w:rPr>
              <w:t>衔接教育设施布局和规模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荔浦市工业集中区总体规划2019</w:t>
            </w:r>
          </w:p>
        </w:tc>
        <w:tc>
          <w:tcPr>
            <w:tcW w:w="4048" w:type="dxa"/>
          </w:tcPr>
          <w:p>
            <w:pPr>
              <w:pStyle w:val="64"/>
              <w:rPr>
                <w:rFonts w:ascii="仿宋_GB2312"/>
                <w:szCs w:val="21"/>
              </w:rPr>
            </w:pPr>
            <w:r>
              <w:rPr>
                <w:rFonts w:hint="eastAsia" w:ascii="仿宋_GB2312"/>
                <w:szCs w:val="21"/>
              </w:rPr>
              <w:t>衔接长水岭工业区和高新技术产业园用地布局和配套设施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荔浦山洪沟治理规划2021</w:t>
            </w:r>
          </w:p>
        </w:tc>
        <w:tc>
          <w:tcPr>
            <w:tcW w:w="4048" w:type="dxa"/>
          </w:tcPr>
          <w:p>
            <w:pPr>
              <w:pStyle w:val="64"/>
              <w:rPr>
                <w:rFonts w:ascii="仿宋_GB2312"/>
                <w:szCs w:val="21"/>
              </w:rPr>
            </w:pPr>
            <w:r>
              <w:rPr>
                <w:rFonts w:hint="eastAsia" w:ascii="仿宋_GB2312"/>
                <w:szCs w:val="21"/>
              </w:rPr>
              <w:t>衔接防洪排涝相关内容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荔浦市农村饮水规划2020</w:t>
            </w:r>
          </w:p>
        </w:tc>
        <w:tc>
          <w:tcPr>
            <w:tcW w:w="4048" w:type="dxa"/>
          </w:tcPr>
          <w:p>
            <w:pPr>
              <w:pStyle w:val="64"/>
              <w:rPr>
                <w:rFonts w:ascii="仿宋_GB2312"/>
                <w:szCs w:val="21"/>
              </w:rPr>
            </w:pPr>
            <w:r>
              <w:rPr>
                <w:rFonts w:hint="eastAsia" w:ascii="仿宋_GB2312"/>
                <w:szCs w:val="21"/>
              </w:rPr>
              <w:t>衔接农村供水安全相关内容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荔浦市农田水利建设规划（2020年～2030年）</w:t>
            </w:r>
          </w:p>
        </w:tc>
        <w:tc>
          <w:tcPr>
            <w:tcW w:w="4048" w:type="dxa"/>
          </w:tcPr>
          <w:p>
            <w:pPr>
              <w:pStyle w:val="64"/>
              <w:rPr>
                <w:rFonts w:ascii="仿宋_GB2312"/>
                <w:szCs w:val="21"/>
              </w:rPr>
            </w:pPr>
            <w:r>
              <w:rPr>
                <w:rFonts w:hint="eastAsia" w:ascii="仿宋_GB2312"/>
                <w:szCs w:val="21"/>
              </w:rPr>
              <w:t>衔接永久基本农田和高标准农田建设情况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荔浦农村污水治理规划成果2021</w:t>
            </w:r>
          </w:p>
        </w:tc>
        <w:tc>
          <w:tcPr>
            <w:tcW w:w="4048" w:type="dxa"/>
          </w:tcPr>
          <w:p>
            <w:pPr>
              <w:pStyle w:val="64"/>
              <w:rPr>
                <w:rFonts w:ascii="仿宋_GB2312"/>
                <w:szCs w:val="21"/>
              </w:rPr>
            </w:pPr>
            <w:r>
              <w:rPr>
                <w:rFonts w:hint="eastAsia" w:ascii="仿宋_GB2312"/>
                <w:szCs w:val="21"/>
              </w:rPr>
              <w:t>衔接农村基础设施和生态环境相关内容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青山镇田园综合体2021</w:t>
            </w:r>
          </w:p>
        </w:tc>
        <w:tc>
          <w:tcPr>
            <w:tcW w:w="4048" w:type="dxa"/>
          </w:tcPr>
          <w:p>
            <w:pPr>
              <w:pStyle w:val="64"/>
              <w:rPr>
                <w:rFonts w:ascii="仿宋_GB2312"/>
                <w:szCs w:val="21"/>
              </w:rPr>
            </w:pPr>
            <w:r>
              <w:rPr>
                <w:rFonts w:hint="eastAsia" w:ascii="仿宋_GB2312"/>
                <w:szCs w:val="21"/>
              </w:rPr>
              <w:t>衔接青山镇重点发展项目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vMerge w:val="continue"/>
          </w:tcPr>
          <w:p>
            <w:pPr>
              <w:pStyle w:val="64"/>
              <w:rPr>
                <w:rFonts w:ascii="仿宋_GB2312"/>
                <w:szCs w:val="21"/>
              </w:rPr>
            </w:pPr>
          </w:p>
        </w:tc>
        <w:tc>
          <w:tcPr>
            <w:tcW w:w="3119" w:type="dxa"/>
          </w:tcPr>
          <w:p>
            <w:pPr>
              <w:pStyle w:val="64"/>
              <w:rPr>
                <w:rFonts w:ascii="仿宋_GB2312"/>
                <w:szCs w:val="21"/>
              </w:rPr>
            </w:pPr>
            <w:r>
              <w:rPr>
                <w:rFonts w:hint="eastAsia" w:ascii="仿宋_GB2312"/>
                <w:szCs w:val="21"/>
              </w:rPr>
              <w:t>毓秀马岭田园综合体规划2021</w:t>
            </w:r>
          </w:p>
        </w:tc>
        <w:tc>
          <w:tcPr>
            <w:tcW w:w="4048" w:type="dxa"/>
          </w:tcPr>
          <w:p>
            <w:pPr>
              <w:pStyle w:val="64"/>
              <w:rPr>
                <w:rFonts w:ascii="仿宋_GB2312"/>
                <w:szCs w:val="21"/>
              </w:rPr>
            </w:pPr>
            <w:r>
              <w:rPr>
                <w:rFonts w:hint="eastAsia" w:ascii="仿宋_GB2312"/>
                <w:szCs w:val="21"/>
              </w:rPr>
              <w:t>衔接马岭镇重点发展项目</w:t>
            </w:r>
          </w:p>
        </w:tc>
      </w:tr>
    </w:tbl>
    <w:p>
      <w:pPr>
        <w:pStyle w:val="4"/>
        <w:numPr>
          <w:ilvl w:val="0"/>
          <w:numId w:val="31"/>
        </w:numPr>
        <w:ind w:left="0" w:firstLine="640"/>
      </w:pPr>
      <w:r>
        <w:rPr>
          <w:rFonts w:hint="eastAsia"/>
        </w:rPr>
        <w:t>相邻城市规划衔接情况</w:t>
      </w:r>
    </w:p>
    <w:p>
      <w:pPr>
        <w:ind w:firstLine="640"/>
        <w:rPr>
          <w:rFonts w:ascii="仿宋_GB2312"/>
        </w:rPr>
      </w:pPr>
      <w:r>
        <w:rPr>
          <w:rFonts w:hint="eastAsia" w:ascii="仿宋_GB2312"/>
        </w:rPr>
        <w:t>《规划》充分考虑了与相邻城市的规划衔接，依据自治区自然资源厅要求，县级城市只对相邻地级市的区县进行征询意见，不同市辖区的区县统一由地级市负责征询。因此，在2023年5月底至6月25日，荔浦市重点与阳朔县、永福县、平乐县3县进行了国土空间规划意见征询。</w:t>
      </w:r>
    </w:p>
    <w:p>
      <w:pPr>
        <w:ind w:firstLine="640"/>
        <w:rPr>
          <w:rFonts w:ascii="仿宋_GB2312"/>
        </w:rPr>
      </w:pPr>
      <w:r>
        <w:rPr>
          <w:rFonts w:hint="eastAsia" w:ascii="仿宋_GB2312"/>
        </w:rPr>
        <w:t>《规划》着重在基础设施、产业布局、资源利用和生态保护等方面与相邻城市进行了充分沟通与协调，确保促进区域协调发展，实现资源共享、优势互补，提高区域整体发展水平。</w:t>
      </w:r>
    </w:p>
    <w:p>
      <w:pPr>
        <w:pStyle w:val="3"/>
        <w:numPr>
          <w:ilvl w:val="0"/>
          <w:numId w:val="26"/>
        </w:numPr>
        <w:ind w:left="0" w:firstLine="643" w:firstLineChars="200"/>
      </w:pPr>
      <w:bookmarkStart w:id="22" w:name="_Toc157018468"/>
      <w:r>
        <w:t>承诺事项落实情况</w:t>
      </w:r>
      <w:bookmarkEnd w:id="22"/>
    </w:p>
    <w:p>
      <w:pPr>
        <w:pStyle w:val="4"/>
        <w:numPr>
          <w:ilvl w:val="0"/>
          <w:numId w:val="32"/>
        </w:numPr>
        <w:ind w:left="0" w:firstLine="640"/>
      </w:pPr>
      <w:r>
        <w:rPr>
          <w:rFonts w:hint="eastAsia"/>
        </w:rPr>
        <w:t>过渡期用地审批承诺事项落实情况说明</w:t>
      </w:r>
    </w:p>
    <w:p>
      <w:pPr>
        <w:ind w:firstLine="640"/>
        <w:rPr>
          <w:rFonts w:ascii="仿宋_GB2312"/>
        </w:rPr>
      </w:pPr>
      <w:r>
        <w:rPr>
          <w:rFonts w:hint="eastAsia" w:ascii="仿宋_GB2312"/>
        </w:rPr>
        <w:t>（1）2021年1月1日以来，荔浦市报国家和自治区审批建设用地以及衔接方案并承诺纳入国土空间规划的单独选址建设项目共13个，均已纳入《荔浦市国土空间总体规划（2021-2035年）》重点项目安排表及国土空间规划“一张图”实施监督信息系统。见表9、表10。</w:t>
      </w:r>
    </w:p>
    <w:p>
      <w:pPr>
        <w:ind w:firstLine="640"/>
      </w:pPr>
    </w:p>
    <w:p>
      <w:pPr>
        <w:pStyle w:val="57"/>
        <w:spacing w:before="163" w:after="163"/>
      </w:pPr>
      <w:r>
        <w:rPr>
          <w:rFonts w:hint="eastAsia"/>
        </w:rPr>
        <w:t>已审批建设用地的单独选址项目承诺纳入国土空间规划落实情况表</w:t>
      </w:r>
    </w:p>
    <w:p>
      <w:pPr>
        <w:widowControl w:val="0"/>
        <w:spacing w:line="240" w:lineRule="auto"/>
        <w:ind w:firstLine="2520" w:firstLineChars="1200"/>
        <w:jc w:val="right"/>
        <w:rPr>
          <w:rFonts w:ascii="仿宋" w:hAnsi="仿宋"/>
          <w:sz w:val="21"/>
          <w:szCs w:val="21"/>
        </w:rPr>
      </w:pPr>
      <w:r>
        <w:rPr>
          <w:rFonts w:hint="eastAsia" w:ascii="仿宋" w:hAnsi="仿宋"/>
          <w:sz w:val="21"/>
          <w:szCs w:val="21"/>
        </w:rPr>
        <w:t>单位：公顷</w:t>
      </w:r>
    </w:p>
    <w:tbl>
      <w:tblPr>
        <w:tblStyle w:val="37"/>
        <w:tblW w:w="8296" w:type="dxa"/>
        <w:jc w:val="center"/>
        <w:tblInd w:w="0" w:type="dxa"/>
        <w:tblLayout w:type="fixed"/>
        <w:tblCellMar>
          <w:top w:w="0" w:type="dxa"/>
          <w:left w:w="108" w:type="dxa"/>
          <w:bottom w:w="0" w:type="dxa"/>
          <w:right w:w="108" w:type="dxa"/>
        </w:tblCellMar>
      </w:tblPr>
      <w:tblGrid>
        <w:gridCol w:w="640"/>
        <w:gridCol w:w="4870"/>
        <w:gridCol w:w="1266"/>
        <w:gridCol w:w="1520"/>
      </w:tblGrid>
      <w:tr>
        <w:tblPrEx>
          <w:tblLayout w:type="fixed"/>
          <w:tblCellMar>
            <w:top w:w="0" w:type="dxa"/>
            <w:left w:w="108" w:type="dxa"/>
            <w:bottom w:w="0" w:type="dxa"/>
            <w:right w:w="108" w:type="dxa"/>
          </w:tblCellMar>
        </w:tblPrEx>
        <w:trPr>
          <w:trHeight w:val="567"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序号</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项目名称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总用地面积</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是否纳入规划</w:t>
            </w:r>
          </w:p>
        </w:tc>
      </w:tr>
      <w:tr>
        <w:tblPrEx>
          <w:tblLayout w:type="fixed"/>
          <w:tblCellMar>
            <w:top w:w="0" w:type="dxa"/>
            <w:left w:w="108" w:type="dxa"/>
            <w:bottom w:w="0" w:type="dxa"/>
            <w:right w:w="108" w:type="dxa"/>
          </w:tblCellMar>
        </w:tblPrEx>
        <w:trPr>
          <w:trHeight w:val="28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1</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ascii="仿宋_GB2312"/>
                <w:szCs w:val="21"/>
              </w:rPr>
              <w:t>贺州至巴马公路（蒙山至象州段）二期工程（荔浦段）</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1</w:t>
            </w:r>
            <w:r>
              <w:rPr>
                <w:rFonts w:ascii="仿宋_GB2312"/>
                <w:szCs w:val="21"/>
              </w:rPr>
              <w:t>46.07</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w:t>
            </w:r>
          </w:p>
        </w:tc>
      </w:tr>
      <w:tr>
        <w:tblPrEx>
          <w:tblLayout w:type="fixed"/>
          <w:tblCellMar>
            <w:top w:w="0" w:type="dxa"/>
            <w:left w:w="108" w:type="dxa"/>
            <w:bottom w:w="0" w:type="dxa"/>
            <w:right w:w="108" w:type="dxa"/>
          </w:tblCellMar>
        </w:tblPrEx>
        <w:trPr>
          <w:trHeight w:val="28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2</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阳朔至荔浦公路（阳鹿路与贺巴路荔浦连线）建设用地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1</w:t>
            </w:r>
            <w:r>
              <w:rPr>
                <w:rFonts w:ascii="仿宋_GB2312"/>
                <w:szCs w:val="21"/>
              </w:rPr>
              <w:t>18.59</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w:t>
            </w:r>
          </w:p>
        </w:tc>
      </w:tr>
      <w:tr>
        <w:tblPrEx>
          <w:tblLayout w:type="fixed"/>
          <w:tblCellMar>
            <w:top w:w="0" w:type="dxa"/>
            <w:left w:w="108" w:type="dxa"/>
            <w:bottom w:w="0" w:type="dxa"/>
            <w:right w:w="108" w:type="dxa"/>
          </w:tblCellMar>
        </w:tblPrEx>
        <w:trPr>
          <w:trHeight w:val="289" w:hRule="atLeast"/>
          <w:jc w:val="center"/>
        </w:trPr>
        <w:tc>
          <w:tcPr>
            <w:tcW w:w="5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合计</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0" w:firstLineChars="0"/>
              <w:jc w:val="center"/>
              <w:rPr>
                <w:rFonts w:ascii="仿宋_GB2312" w:hAnsi="宋体" w:cs="宋体"/>
                <w:sz w:val="21"/>
                <w:szCs w:val="21"/>
              </w:rPr>
            </w:pPr>
            <w:r>
              <w:rPr>
                <w:rFonts w:hint="eastAsia" w:ascii="仿宋_GB2312" w:hAnsi="宋体" w:cs="宋体"/>
                <w:sz w:val="21"/>
                <w:szCs w:val="21"/>
              </w:rPr>
              <w:t>264.66</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w:t>
            </w:r>
          </w:p>
        </w:tc>
      </w:tr>
    </w:tbl>
    <w:p>
      <w:pPr>
        <w:pStyle w:val="57"/>
        <w:numPr>
          <w:ilvl w:val="0"/>
          <w:numId w:val="0"/>
        </w:numPr>
        <w:spacing w:before="163" w:after="163"/>
        <w:jc w:val="both"/>
        <w:rPr>
          <w:sz w:val="21"/>
          <w:szCs w:val="21"/>
        </w:rPr>
      </w:pPr>
    </w:p>
    <w:p>
      <w:pPr>
        <w:pStyle w:val="57"/>
        <w:spacing w:before="163" w:after="163"/>
      </w:pPr>
      <w:r>
        <w:t>已审批衔接方案的</w:t>
      </w:r>
      <w:r>
        <w:rPr>
          <w:rFonts w:hint="eastAsia"/>
        </w:rPr>
        <w:t>单独选址项目承诺纳入国土空间规划落实情况表</w:t>
      </w:r>
    </w:p>
    <w:p>
      <w:pPr>
        <w:widowControl w:val="0"/>
        <w:spacing w:line="240" w:lineRule="auto"/>
        <w:ind w:firstLine="2520" w:firstLineChars="1200"/>
        <w:jc w:val="right"/>
        <w:rPr>
          <w:rFonts w:ascii="仿宋" w:hAnsi="仿宋"/>
          <w:sz w:val="21"/>
          <w:szCs w:val="21"/>
        </w:rPr>
      </w:pPr>
      <w:r>
        <w:rPr>
          <w:rFonts w:hint="eastAsia" w:ascii="仿宋" w:hAnsi="仿宋"/>
          <w:sz w:val="21"/>
          <w:szCs w:val="21"/>
        </w:rPr>
        <w:t>单位：公顷</w:t>
      </w:r>
    </w:p>
    <w:tbl>
      <w:tblPr>
        <w:tblStyle w:val="37"/>
        <w:tblW w:w="8296" w:type="dxa"/>
        <w:jc w:val="center"/>
        <w:tblInd w:w="0" w:type="dxa"/>
        <w:tblLayout w:type="fixed"/>
        <w:tblCellMar>
          <w:top w:w="0" w:type="dxa"/>
          <w:left w:w="108" w:type="dxa"/>
          <w:bottom w:w="0" w:type="dxa"/>
          <w:right w:w="108" w:type="dxa"/>
        </w:tblCellMar>
      </w:tblPr>
      <w:tblGrid>
        <w:gridCol w:w="639"/>
        <w:gridCol w:w="4601"/>
        <w:gridCol w:w="992"/>
        <w:gridCol w:w="994"/>
        <w:gridCol w:w="1070"/>
      </w:tblGrid>
      <w:tr>
        <w:tblPrEx>
          <w:tblLayout w:type="fixed"/>
          <w:tblCellMar>
            <w:top w:w="0" w:type="dxa"/>
            <w:left w:w="108" w:type="dxa"/>
            <w:bottom w:w="0" w:type="dxa"/>
            <w:right w:w="108" w:type="dxa"/>
          </w:tblCellMar>
        </w:tblPrEx>
        <w:trPr>
          <w:trHeight w:val="567"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序号</w:t>
            </w:r>
          </w:p>
        </w:tc>
        <w:tc>
          <w:tcPr>
            <w:tcW w:w="46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项目名称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总用地面积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是否纳入规划</w:t>
            </w:r>
          </w:p>
        </w:tc>
        <w:tc>
          <w:tcPr>
            <w:tcW w:w="1070"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未纳入规划的原因</w:t>
            </w:r>
          </w:p>
        </w:tc>
      </w:tr>
      <w:tr>
        <w:tblPrEx>
          <w:tblLayout w:type="fixed"/>
          <w:tblCellMar>
            <w:top w:w="0" w:type="dxa"/>
            <w:left w:w="108" w:type="dxa"/>
            <w:bottom w:w="0" w:type="dxa"/>
            <w:right w:w="108" w:type="dxa"/>
          </w:tblCellMar>
        </w:tblPrEx>
        <w:trPr>
          <w:trHeight w:val="289"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1</w:t>
            </w:r>
          </w:p>
        </w:tc>
        <w:tc>
          <w:tcPr>
            <w:tcW w:w="46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广西壮族自治区荔浦至玉林公路（荔浦段）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color w:val="000000"/>
                <w:szCs w:val="21"/>
              </w:rPr>
              <w:t xml:space="preserve">185.19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w:t>
            </w:r>
          </w:p>
        </w:tc>
        <w:tc>
          <w:tcPr>
            <w:tcW w:w="1070"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89"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2</w:t>
            </w:r>
          </w:p>
        </w:tc>
        <w:tc>
          <w:tcPr>
            <w:tcW w:w="46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阳朔至荔浦公路（阳鹿路与贺巴路荔浦连线）</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color w:val="000000"/>
                <w:szCs w:val="21"/>
              </w:rPr>
              <w:t xml:space="preserve">118.73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w:t>
            </w:r>
          </w:p>
        </w:tc>
        <w:tc>
          <w:tcPr>
            <w:tcW w:w="1070"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89"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3</w:t>
            </w:r>
          </w:p>
        </w:tc>
        <w:tc>
          <w:tcPr>
            <w:tcW w:w="46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szCs w:val="21"/>
              </w:rPr>
              <w:t>220KV荔浦（恒祥）送变电工程</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color w:val="000000"/>
                <w:szCs w:val="21"/>
              </w:rPr>
              <w:t xml:space="preserve">4.21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w:t>
            </w:r>
          </w:p>
        </w:tc>
        <w:tc>
          <w:tcPr>
            <w:tcW w:w="1070"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89"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4</w:t>
            </w:r>
          </w:p>
        </w:tc>
        <w:tc>
          <w:tcPr>
            <w:tcW w:w="46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szCs w:val="21"/>
              </w:rPr>
              <w:t>广西荔浦国际商贸物流城建设项目</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color w:val="000000"/>
                <w:szCs w:val="21"/>
              </w:rPr>
              <w:t xml:space="preserve">5.92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w:t>
            </w:r>
          </w:p>
        </w:tc>
        <w:tc>
          <w:tcPr>
            <w:tcW w:w="1070"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89"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5</w:t>
            </w:r>
          </w:p>
        </w:tc>
        <w:tc>
          <w:tcPr>
            <w:tcW w:w="46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szCs w:val="21"/>
              </w:rPr>
              <w:t>广西天然气支线管网项目桂林-阳朔-荔浦天然气支线管道工程</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color w:val="000000"/>
                <w:szCs w:val="21"/>
              </w:rPr>
              <w:t xml:space="preserve">1.14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w:t>
            </w:r>
          </w:p>
        </w:tc>
        <w:tc>
          <w:tcPr>
            <w:tcW w:w="1070"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89"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6</w:t>
            </w:r>
          </w:p>
        </w:tc>
        <w:tc>
          <w:tcPr>
            <w:tcW w:w="46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szCs w:val="21"/>
              </w:rPr>
              <w:t>桂林荔浦荔江湾国际旅游养生养老休闲度假区项目</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color w:val="000000"/>
                <w:szCs w:val="21"/>
              </w:rPr>
              <w:t xml:space="preserve">12.31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w:t>
            </w:r>
          </w:p>
        </w:tc>
        <w:tc>
          <w:tcPr>
            <w:tcW w:w="1070"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89"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7</w:t>
            </w:r>
          </w:p>
        </w:tc>
        <w:tc>
          <w:tcPr>
            <w:tcW w:w="46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szCs w:val="21"/>
              </w:rPr>
              <w:t>桂林荔浦天誉文旅投资有限公司天誉养生谷建设项目</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color w:val="000000"/>
                <w:szCs w:val="21"/>
              </w:rPr>
              <w:t xml:space="preserve">26.09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w:t>
            </w:r>
          </w:p>
        </w:tc>
        <w:tc>
          <w:tcPr>
            <w:tcW w:w="1070"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89"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8</w:t>
            </w:r>
          </w:p>
        </w:tc>
        <w:tc>
          <w:tcPr>
            <w:tcW w:w="46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szCs w:val="21"/>
              </w:rPr>
              <w:t>国道321改线工程（东环路）项目涉及荔浦县土地利用总体规划局部调整和数据库变更</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color w:val="000000"/>
                <w:szCs w:val="21"/>
              </w:rPr>
              <w:t xml:space="preserve">1.59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w:t>
            </w:r>
          </w:p>
        </w:tc>
        <w:tc>
          <w:tcPr>
            <w:tcW w:w="1070"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89"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9</w:t>
            </w:r>
          </w:p>
        </w:tc>
        <w:tc>
          <w:tcPr>
            <w:tcW w:w="46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szCs w:val="21"/>
              </w:rPr>
              <w:t>荔浦市茶城乡加油站项目</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color w:val="000000"/>
                <w:szCs w:val="21"/>
              </w:rPr>
              <w:t xml:space="preserve">0.40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w:t>
            </w:r>
          </w:p>
        </w:tc>
        <w:tc>
          <w:tcPr>
            <w:tcW w:w="1070"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89"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10</w:t>
            </w:r>
          </w:p>
        </w:tc>
        <w:tc>
          <w:tcPr>
            <w:tcW w:w="46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szCs w:val="21"/>
              </w:rPr>
              <w:t>荔浦市瑞昌农产品加工项目</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color w:val="000000"/>
                <w:szCs w:val="21"/>
              </w:rPr>
              <w:t xml:space="preserve">6.70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w:t>
            </w:r>
          </w:p>
        </w:tc>
        <w:tc>
          <w:tcPr>
            <w:tcW w:w="1070"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89"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11</w:t>
            </w:r>
          </w:p>
        </w:tc>
        <w:tc>
          <w:tcPr>
            <w:tcW w:w="46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szCs w:val="21"/>
              </w:rPr>
              <w:t>荔浦县马岭镇永明村乡村旅游基础设施配套项目涉及土地利用总体规划数据库变更</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color w:val="000000"/>
                <w:szCs w:val="21"/>
              </w:rPr>
              <w:t xml:space="preserve">0.17 </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是</w:t>
            </w:r>
          </w:p>
        </w:tc>
        <w:tc>
          <w:tcPr>
            <w:tcW w:w="1070"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89" w:hRule="atLeast"/>
          <w:jc w:val="center"/>
        </w:trPr>
        <w:tc>
          <w:tcPr>
            <w:tcW w:w="5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color w:val="000000"/>
                <w:szCs w:val="21"/>
              </w:rPr>
              <w:t>362.43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w:t>
            </w:r>
          </w:p>
        </w:tc>
        <w:tc>
          <w:tcPr>
            <w:tcW w:w="1070"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bl>
    <w:p>
      <w:pPr>
        <w:ind w:firstLine="0" w:firstLineChars="0"/>
        <w:jc w:val="left"/>
        <w:rPr>
          <w:sz w:val="21"/>
          <w:szCs w:val="21"/>
        </w:rPr>
      </w:pPr>
      <w:r>
        <w:rPr>
          <w:sz w:val="21"/>
          <w:szCs w:val="21"/>
        </w:rPr>
        <w:t>注：其中已报批的项目填附表9</w:t>
      </w:r>
      <w:r>
        <w:rPr>
          <w:rFonts w:hint="eastAsia"/>
          <w:sz w:val="21"/>
          <w:szCs w:val="21"/>
        </w:rPr>
        <w:t>即可。</w:t>
      </w:r>
    </w:p>
    <w:p>
      <w:pPr>
        <w:ind w:firstLine="640"/>
        <w:rPr>
          <w:rFonts w:ascii="仿宋_GB2312"/>
        </w:rPr>
      </w:pPr>
      <w:r>
        <w:rPr>
          <w:rFonts w:hint="eastAsia" w:ascii="仿宋_GB2312"/>
        </w:rPr>
        <w:t>（2）2021年1月1日以来，荔浦市共审批14个批次城市、乡镇建设用地，用地总面积43.70公顷，已纳入《荔浦市国土空间总体规划（2021-2035年）》及国土空间规划“一张图”实施监督信息系统。见表11。</w:t>
      </w:r>
    </w:p>
    <w:p>
      <w:pPr>
        <w:ind w:firstLine="640"/>
      </w:pPr>
    </w:p>
    <w:p>
      <w:pPr>
        <w:pStyle w:val="57"/>
        <w:spacing w:before="163" w:after="163"/>
      </w:pPr>
      <w:r>
        <w:rPr>
          <w:rFonts w:hint="eastAsia"/>
        </w:rPr>
        <w:t>批次用地承诺纳入国土空间规划落实情况表</w:t>
      </w:r>
    </w:p>
    <w:p>
      <w:pPr>
        <w:widowControl w:val="0"/>
        <w:spacing w:line="240" w:lineRule="auto"/>
        <w:ind w:firstLine="2520" w:firstLineChars="1200"/>
        <w:jc w:val="right"/>
        <w:rPr>
          <w:rFonts w:ascii="仿宋" w:hAnsi="仿宋"/>
          <w:sz w:val="21"/>
          <w:szCs w:val="21"/>
        </w:rPr>
      </w:pPr>
      <w:r>
        <w:rPr>
          <w:rFonts w:hint="eastAsia" w:ascii="仿宋" w:hAnsi="仿宋"/>
          <w:sz w:val="21"/>
          <w:szCs w:val="21"/>
        </w:rPr>
        <w:t>单位：公顷</w:t>
      </w:r>
    </w:p>
    <w:tbl>
      <w:tblPr>
        <w:tblStyle w:val="37"/>
        <w:tblW w:w="8419" w:type="dxa"/>
        <w:jc w:val="center"/>
        <w:tblInd w:w="0" w:type="dxa"/>
        <w:tblLayout w:type="fixed"/>
        <w:tblCellMar>
          <w:top w:w="0" w:type="dxa"/>
          <w:left w:w="108" w:type="dxa"/>
          <w:bottom w:w="0" w:type="dxa"/>
          <w:right w:w="108" w:type="dxa"/>
        </w:tblCellMar>
      </w:tblPr>
      <w:tblGrid>
        <w:gridCol w:w="702"/>
        <w:gridCol w:w="4572"/>
        <w:gridCol w:w="1019"/>
        <w:gridCol w:w="1134"/>
        <w:gridCol w:w="992"/>
      </w:tblGrid>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序号</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批次名称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总用地面积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纳入规划的具体情形</w:t>
            </w:r>
          </w:p>
        </w:tc>
        <w:tc>
          <w:tcPr>
            <w:tcW w:w="992"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未纳入规划的原因</w:t>
            </w:r>
          </w:p>
        </w:tc>
      </w:tr>
      <w:tr>
        <w:tblPrEx>
          <w:tblLayout w:type="fixed"/>
          <w:tblCellMar>
            <w:top w:w="0" w:type="dxa"/>
            <w:left w:w="108" w:type="dxa"/>
            <w:bottom w:w="0" w:type="dxa"/>
            <w:right w:w="108" w:type="dxa"/>
          </w:tblCellMar>
        </w:tblPrEx>
        <w:trPr>
          <w:trHeight w:val="20" w:hRule="atLeast"/>
          <w:jc w:val="center"/>
        </w:trPr>
        <w:tc>
          <w:tcPr>
            <w:tcW w:w="84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城市批次用地</w:t>
            </w:r>
          </w:p>
        </w:tc>
      </w:tr>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1</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荔浦市</w:t>
            </w:r>
            <w:r>
              <w:rPr>
                <w:rFonts w:ascii="仿宋_GB2312"/>
                <w:szCs w:val="21"/>
              </w:rPr>
              <w:t>2021年第一批次城市建设用地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4.00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64"/>
              <w:rPr>
                <w:rFonts w:ascii="仿宋_GB2312"/>
                <w:szCs w:val="21"/>
              </w:rPr>
            </w:pPr>
            <w:r>
              <w:rPr>
                <w:rFonts w:ascii="仿宋_GB2312"/>
                <w:szCs w:val="21"/>
              </w:rPr>
              <w:t>划入城镇开发边界</w:t>
            </w:r>
          </w:p>
        </w:tc>
        <w:tc>
          <w:tcPr>
            <w:tcW w:w="992"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2</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荔浦市</w:t>
            </w:r>
            <w:r>
              <w:rPr>
                <w:rFonts w:ascii="仿宋_GB2312"/>
                <w:szCs w:val="21"/>
              </w:rPr>
              <w:t>2021年第二批次城市建设用地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6.57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64"/>
              <w:rPr>
                <w:rFonts w:ascii="仿宋_GB2312"/>
                <w:szCs w:val="21"/>
              </w:rPr>
            </w:pPr>
            <w:r>
              <w:rPr>
                <w:rFonts w:ascii="仿宋_GB2312"/>
                <w:szCs w:val="21"/>
              </w:rPr>
              <w:t>划入城镇开发边界</w:t>
            </w:r>
          </w:p>
        </w:tc>
        <w:tc>
          <w:tcPr>
            <w:tcW w:w="992"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3</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荔浦市2021年第三批次城市建设用地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2.1</w:t>
            </w:r>
            <w:r>
              <w:rPr>
                <w:rFonts w:ascii="仿宋_GB2312"/>
                <w:szCs w:val="21"/>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64"/>
              <w:rPr>
                <w:rFonts w:ascii="仿宋_GB2312"/>
                <w:szCs w:val="21"/>
              </w:rPr>
            </w:pPr>
            <w:r>
              <w:rPr>
                <w:rFonts w:ascii="仿宋_GB2312"/>
                <w:szCs w:val="21"/>
              </w:rPr>
              <w:t>划入城镇开发边界</w:t>
            </w:r>
          </w:p>
        </w:tc>
        <w:tc>
          <w:tcPr>
            <w:tcW w:w="992"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ascii="仿宋_GB2312"/>
                <w:szCs w:val="21"/>
              </w:rPr>
              <w:t>4</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荔浦市</w:t>
            </w:r>
            <w:r>
              <w:rPr>
                <w:rFonts w:ascii="仿宋_GB2312"/>
                <w:szCs w:val="21"/>
              </w:rPr>
              <w:t>2022年第一批次城市建设用地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1.47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64"/>
              <w:rPr>
                <w:rFonts w:ascii="仿宋_GB2312"/>
                <w:szCs w:val="21"/>
              </w:rPr>
            </w:pPr>
            <w:r>
              <w:rPr>
                <w:rFonts w:ascii="仿宋_GB2312"/>
                <w:szCs w:val="21"/>
              </w:rPr>
              <w:t>划入城镇开发边界</w:t>
            </w:r>
          </w:p>
        </w:tc>
        <w:tc>
          <w:tcPr>
            <w:tcW w:w="992"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ascii="仿宋_GB2312"/>
                <w:szCs w:val="21"/>
              </w:rPr>
              <w:t>5</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荔浦市</w:t>
            </w:r>
            <w:r>
              <w:rPr>
                <w:rFonts w:ascii="仿宋_GB2312"/>
                <w:szCs w:val="21"/>
              </w:rPr>
              <w:t>2022年第二批次城市建设用地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0.54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64"/>
              <w:rPr>
                <w:rFonts w:ascii="仿宋_GB2312"/>
                <w:szCs w:val="21"/>
              </w:rPr>
            </w:pPr>
            <w:r>
              <w:rPr>
                <w:rFonts w:ascii="仿宋_GB2312"/>
                <w:szCs w:val="21"/>
              </w:rPr>
              <w:t>划入城镇开发边界</w:t>
            </w:r>
          </w:p>
        </w:tc>
        <w:tc>
          <w:tcPr>
            <w:tcW w:w="992"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ascii="仿宋_GB2312"/>
                <w:szCs w:val="21"/>
              </w:rPr>
              <w:t>6</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荔浦市</w:t>
            </w:r>
            <w:r>
              <w:rPr>
                <w:rFonts w:ascii="仿宋_GB2312"/>
                <w:szCs w:val="21"/>
              </w:rPr>
              <w:t>2022年第三批次城市建设用地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1.12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64"/>
              <w:rPr>
                <w:rFonts w:ascii="仿宋_GB2312"/>
                <w:szCs w:val="21"/>
              </w:rPr>
            </w:pPr>
            <w:r>
              <w:rPr>
                <w:rFonts w:ascii="仿宋_GB2312"/>
                <w:szCs w:val="21"/>
              </w:rPr>
              <w:t>划入城镇开发边界</w:t>
            </w:r>
          </w:p>
        </w:tc>
        <w:tc>
          <w:tcPr>
            <w:tcW w:w="992"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ascii="仿宋_GB2312"/>
                <w:szCs w:val="21"/>
              </w:rPr>
              <w:t>7</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荔浦市</w:t>
            </w:r>
            <w:r>
              <w:rPr>
                <w:rFonts w:ascii="仿宋_GB2312"/>
                <w:szCs w:val="21"/>
              </w:rPr>
              <w:t>2023年第一批次城市建设用地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0.54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64"/>
              <w:rPr>
                <w:rFonts w:ascii="仿宋_GB2312"/>
                <w:szCs w:val="21"/>
              </w:rPr>
            </w:pPr>
            <w:r>
              <w:rPr>
                <w:rFonts w:ascii="仿宋_GB2312"/>
                <w:szCs w:val="21"/>
              </w:rPr>
              <w:t>划入城镇开发边界</w:t>
            </w:r>
          </w:p>
        </w:tc>
        <w:tc>
          <w:tcPr>
            <w:tcW w:w="992"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ascii="仿宋_GB2312"/>
                <w:szCs w:val="21"/>
              </w:rPr>
              <w:t>8</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szCs w:val="21"/>
              </w:rPr>
              <w:t>荔浦市</w:t>
            </w:r>
            <w:r>
              <w:rPr>
                <w:rFonts w:ascii="仿宋_GB2312"/>
                <w:szCs w:val="21"/>
              </w:rPr>
              <w:t>2023年第二批次城市建设用地</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szCs w:val="21"/>
              </w:rPr>
              <w:t>0.07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64"/>
              <w:rPr>
                <w:rFonts w:ascii="仿宋_GB2312"/>
                <w:szCs w:val="21"/>
              </w:rPr>
            </w:pPr>
            <w:r>
              <w:rPr>
                <w:rFonts w:ascii="仿宋_GB2312"/>
                <w:szCs w:val="21"/>
              </w:rPr>
              <w:t>划入城镇开发边界</w:t>
            </w:r>
          </w:p>
        </w:tc>
        <w:tc>
          <w:tcPr>
            <w:tcW w:w="992"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9</w:t>
            </w:r>
          </w:p>
        </w:tc>
        <w:tc>
          <w:tcPr>
            <w:tcW w:w="4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szCs w:val="21"/>
              </w:rPr>
              <w:t>荔浦市</w:t>
            </w:r>
            <w:r>
              <w:rPr>
                <w:rFonts w:ascii="仿宋_GB2312"/>
                <w:szCs w:val="21"/>
              </w:rPr>
              <w:t>2023年第</w:t>
            </w:r>
            <w:r>
              <w:rPr>
                <w:rFonts w:hint="eastAsia" w:ascii="仿宋_GB2312"/>
                <w:szCs w:val="21"/>
              </w:rPr>
              <w:t>三</w:t>
            </w:r>
            <w:r>
              <w:rPr>
                <w:rFonts w:ascii="仿宋_GB2312"/>
                <w:szCs w:val="21"/>
              </w:rPr>
              <w:t>批次城市建设用地</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ascii="仿宋_GB2312"/>
                <w:szCs w:val="21"/>
              </w:rPr>
              <w:t>1.47</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64"/>
              <w:rPr>
                <w:rFonts w:ascii="仿宋_GB2312"/>
                <w:szCs w:val="21"/>
              </w:rPr>
            </w:pPr>
            <w:r>
              <w:rPr>
                <w:rFonts w:ascii="仿宋_GB2312"/>
                <w:szCs w:val="21"/>
              </w:rPr>
              <w:t>划入城镇开发边界</w:t>
            </w:r>
          </w:p>
        </w:tc>
        <w:tc>
          <w:tcPr>
            <w:tcW w:w="992"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5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合计</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szCs w:val="21"/>
              </w:rPr>
              <w:t>1</w:t>
            </w:r>
            <w:r>
              <w:rPr>
                <w:rFonts w:ascii="仿宋_GB2312"/>
                <w:szCs w:val="21"/>
              </w:rPr>
              <w:t>7.91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w:t>
            </w:r>
          </w:p>
        </w:tc>
        <w:tc>
          <w:tcPr>
            <w:tcW w:w="992" w:type="dxa"/>
            <w:tcBorders>
              <w:top w:val="single" w:color="000000" w:sz="4" w:space="0"/>
              <w:left w:val="single" w:color="000000" w:sz="4" w:space="0"/>
              <w:bottom w:val="single" w:color="000000" w:sz="4" w:space="0"/>
              <w:right w:val="single" w:color="000000" w:sz="4" w:space="0"/>
            </w:tcBorders>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1</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荔浦市</w:t>
            </w:r>
            <w:r>
              <w:rPr>
                <w:rFonts w:ascii="仿宋_GB2312"/>
                <w:szCs w:val="21"/>
              </w:rPr>
              <w:t>2021年第一批次乡镇建设用地（城乡建设用地增减挂钩项目建新区用地）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1.82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64"/>
              <w:rPr>
                <w:rFonts w:ascii="仿宋_GB2312"/>
                <w:szCs w:val="21"/>
              </w:rPr>
            </w:pPr>
            <w:r>
              <w:rPr>
                <w:rFonts w:ascii="仿宋_GB2312"/>
                <w:szCs w:val="21"/>
              </w:rPr>
              <w:t>预留乡村建设用地</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ascii="仿宋_GB2312"/>
                <w:szCs w:val="21"/>
              </w:rPr>
              <w:t>2</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荔浦市</w:t>
            </w:r>
            <w:r>
              <w:rPr>
                <w:rFonts w:ascii="仿宋_GB2312"/>
                <w:szCs w:val="21"/>
              </w:rPr>
              <w:t>2021年第三批次乡镇建设用地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9.68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64"/>
              <w:rPr>
                <w:rFonts w:ascii="仿宋_GB2312"/>
                <w:szCs w:val="21"/>
              </w:rPr>
            </w:pPr>
            <w:r>
              <w:rPr>
                <w:rFonts w:ascii="仿宋_GB2312"/>
                <w:szCs w:val="21"/>
              </w:rPr>
              <w:t>预留乡村建设用地</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3</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荔浦市</w:t>
            </w:r>
            <w:r>
              <w:rPr>
                <w:rFonts w:ascii="仿宋_GB2312"/>
                <w:szCs w:val="21"/>
              </w:rPr>
              <w:t>2021年第四批次乡镇建设用地（城乡建设用地增减挂钩项目建新区用地）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10.71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64"/>
              <w:rPr>
                <w:rFonts w:ascii="仿宋_GB2312"/>
                <w:szCs w:val="21"/>
              </w:rPr>
            </w:pPr>
            <w:r>
              <w:rPr>
                <w:rFonts w:ascii="仿宋_GB2312"/>
                <w:szCs w:val="21"/>
              </w:rPr>
              <w:t>预留乡村建设用地</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4</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荔浦市</w:t>
            </w:r>
            <w:r>
              <w:rPr>
                <w:rFonts w:ascii="仿宋_GB2312"/>
                <w:szCs w:val="21"/>
              </w:rPr>
              <w:t>2022年第一批次乡镇建设用地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3.39</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64"/>
              <w:rPr>
                <w:rFonts w:ascii="仿宋_GB2312"/>
                <w:szCs w:val="21"/>
              </w:rPr>
            </w:pPr>
            <w:r>
              <w:rPr>
                <w:rFonts w:ascii="仿宋_GB2312"/>
                <w:szCs w:val="21"/>
              </w:rPr>
              <w:t>预留乡村建设用地</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ascii="仿宋_GB2312"/>
                <w:szCs w:val="21"/>
              </w:rPr>
              <w:t>5</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荔浦市</w:t>
            </w:r>
            <w:r>
              <w:rPr>
                <w:rFonts w:ascii="仿宋_GB2312"/>
                <w:szCs w:val="21"/>
              </w:rPr>
              <w:t>2023年第一批次乡镇建设用地</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ascii="仿宋_GB2312"/>
                <w:szCs w:val="21"/>
              </w:rPr>
              <w:t>0.19</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64"/>
              <w:rPr>
                <w:rFonts w:ascii="仿宋_GB2312"/>
                <w:szCs w:val="21"/>
              </w:rPr>
            </w:pPr>
            <w:r>
              <w:rPr>
                <w:rFonts w:ascii="仿宋_GB2312"/>
                <w:szCs w:val="21"/>
              </w:rPr>
              <w:t>预留乡村建设用地</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szCs w:val="21"/>
              </w:rPr>
            </w:pPr>
            <w:r>
              <w:rPr>
                <w:rFonts w:hint="eastAsia" w:ascii="仿宋_GB2312"/>
                <w:szCs w:val="21"/>
              </w:rPr>
              <w:t>——</w:t>
            </w:r>
          </w:p>
        </w:tc>
      </w:tr>
      <w:tr>
        <w:tblPrEx>
          <w:tblLayout w:type="fixed"/>
          <w:tblCellMar>
            <w:top w:w="0" w:type="dxa"/>
            <w:left w:w="108" w:type="dxa"/>
            <w:bottom w:w="0" w:type="dxa"/>
            <w:right w:w="108" w:type="dxa"/>
          </w:tblCellMar>
        </w:tblPrEx>
        <w:trPr>
          <w:trHeight w:val="20" w:hRule="atLeast"/>
          <w:jc w:val="center"/>
        </w:trPr>
        <w:tc>
          <w:tcPr>
            <w:tcW w:w="5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总计</w:t>
            </w:r>
          </w:p>
        </w:tc>
        <w:tc>
          <w:tcPr>
            <w:tcW w:w="1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4"/>
              <w:rPr>
                <w:rFonts w:ascii="仿宋_GB2312"/>
                <w:szCs w:val="21"/>
              </w:rPr>
            </w:pPr>
            <w:r>
              <w:rPr>
                <w:rFonts w:hint="eastAsia" w:ascii="仿宋_GB2312"/>
                <w:szCs w:val="21"/>
              </w:rPr>
              <w:t>25.</w:t>
            </w:r>
            <w:r>
              <w:rPr>
                <w:rFonts w:ascii="仿宋_GB2312"/>
                <w:szCs w:val="21"/>
              </w:rPr>
              <w:t>79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4"/>
              <w:rPr>
                <w:rFonts w:ascii="仿宋_GB2312"/>
                <w:szCs w:val="21"/>
              </w:rPr>
            </w:pPr>
            <w:r>
              <w:rPr>
                <w:rFonts w:hint="eastAsia" w:ascii="仿宋_GB2312"/>
                <w:szCs w:val="21"/>
              </w:rPr>
              <w:t>——</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64"/>
              <w:rPr>
                <w:rFonts w:ascii="仿宋_GB2312"/>
                <w:szCs w:val="21"/>
              </w:rPr>
            </w:pPr>
            <w:r>
              <w:rPr>
                <w:rFonts w:hint="eastAsia" w:ascii="仿宋_GB2312"/>
                <w:szCs w:val="21"/>
              </w:rPr>
              <w:t>——</w:t>
            </w:r>
          </w:p>
        </w:tc>
      </w:tr>
    </w:tbl>
    <w:p>
      <w:pPr>
        <w:spacing w:line="240" w:lineRule="auto"/>
        <w:ind w:firstLine="0" w:firstLineChars="0"/>
        <w:rPr>
          <w:rFonts w:ascii="楷体_GB2312" w:eastAsia="楷体_GB2312"/>
          <w:sz w:val="21"/>
          <w:szCs w:val="21"/>
        </w:rPr>
      </w:pPr>
      <w:r>
        <w:rPr>
          <w:rFonts w:hint="eastAsia" w:ascii="楷体_GB2312" w:eastAsia="楷体_GB2312"/>
          <w:sz w:val="21"/>
          <w:szCs w:val="21"/>
        </w:rPr>
        <w:t>注：纳入规划的具体情形请填写“划入城镇开发边界”、“预留乡村建设用地”或开发区承诺事项落实情况说明。</w:t>
      </w:r>
    </w:p>
    <w:p>
      <w:pPr>
        <w:pStyle w:val="4"/>
        <w:numPr>
          <w:ilvl w:val="0"/>
          <w:numId w:val="32"/>
        </w:numPr>
        <w:ind w:left="0" w:firstLine="640"/>
      </w:pPr>
      <w:r>
        <w:t>开发区承诺事项落实情况说明</w:t>
      </w:r>
    </w:p>
    <w:p>
      <w:pPr>
        <w:ind w:firstLine="640"/>
        <w:rPr>
          <w:rFonts w:ascii="仿宋_GB2312"/>
        </w:rPr>
      </w:pPr>
      <w:r>
        <w:rPr>
          <w:rFonts w:hint="eastAsia" w:ascii="仿宋_GB2312"/>
        </w:rPr>
        <w:t>2021年1月1日以来，荔浦市没有获批或升级的国家级和自治区级园区。</w:t>
      </w:r>
    </w:p>
    <w:p>
      <w:pPr>
        <w:pStyle w:val="3"/>
        <w:numPr>
          <w:ilvl w:val="0"/>
          <w:numId w:val="26"/>
        </w:numPr>
        <w:ind w:left="0" w:firstLine="643" w:firstLineChars="200"/>
      </w:pPr>
      <w:bookmarkStart w:id="23" w:name="_Toc157018469"/>
      <w:r>
        <w:rPr>
          <w:rFonts w:hint="eastAsia"/>
        </w:rPr>
        <w:t>自治区本级国有土地规划和使用管理情况说明</w:t>
      </w:r>
      <w:bookmarkEnd w:id="23"/>
    </w:p>
    <w:p>
      <w:pPr>
        <w:ind w:firstLine="640"/>
        <w:rPr>
          <w:rFonts w:ascii="仿宋_GB2312"/>
        </w:rPr>
      </w:pPr>
      <w:r>
        <w:rPr>
          <w:rFonts w:hint="eastAsia" w:ascii="仿宋_GB2312"/>
        </w:rPr>
        <w:t>开展自治区本级国有土地清查，明晰土地权属；做好土地开发利用规划计划；严格土地处置管理；完善土地要素市场化配置。荔浦市自治区本级国有土地规划安排情况如下：</w:t>
      </w:r>
    </w:p>
    <w:p>
      <w:pPr>
        <w:ind w:firstLine="640"/>
        <w:rPr>
          <w:rFonts w:ascii="仿宋_GB2312"/>
        </w:rPr>
      </w:pPr>
      <w:r>
        <w:rPr>
          <w:rFonts w:hint="eastAsia" w:ascii="仿宋_GB2312"/>
        </w:rPr>
        <w:t>原控制性详细规划用地规模45083.54公顷，其中工业用地49.49公顷，居住用地46.71公顷，公共管理和公共服务用地172.21公顷，其他用地44815.13公顷。</w:t>
      </w:r>
    </w:p>
    <w:p>
      <w:pPr>
        <w:ind w:firstLine="640"/>
        <w:rPr>
          <w:rFonts w:ascii="仿宋_GB2312"/>
        </w:rPr>
      </w:pPr>
      <w:r>
        <w:rPr>
          <w:rFonts w:hint="eastAsia" w:ascii="仿宋_GB2312"/>
        </w:rPr>
        <w:t>本次国土空间规划用地规模45083.54公顷，其中工业用地53.09公顷居住用地50.12公顷，公共管理和公共服务174.52公顷，其他用地44805.81公顷。</w:t>
      </w:r>
    </w:p>
    <w:p>
      <w:pPr>
        <w:pStyle w:val="3"/>
        <w:numPr>
          <w:ilvl w:val="0"/>
          <w:numId w:val="26"/>
        </w:numPr>
        <w:ind w:left="0" w:firstLine="643" w:firstLineChars="200"/>
      </w:pPr>
      <w:bookmarkStart w:id="24" w:name="_Toc157018470"/>
      <w:r>
        <w:t>规划图集地图审核情况</w:t>
      </w:r>
      <w:bookmarkEnd w:id="24"/>
    </w:p>
    <w:p>
      <w:pPr>
        <w:ind w:firstLine="640"/>
      </w:pPr>
      <w:r>
        <w:rPr>
          <w:rFonts w:hint="eastAsia"/>
        </w:rPr>
        <w:t>规划图集因不涉及国界且未公开，目前暂未开展地图审核。待本规划经自治区人民政府批复后，由荔浦市人民政府向公众公示，届时在公开之前依法依规做好相应的地图审核工作。</w:t>
      </w:r>
    </w:p>
    <w:p>
      <w:pPr>
        <w:ind w:firstLine="640"/>
      </w:pPr>
    </w:p>
    <w:p>
      <w:pPr>
        <w:ind w:firstLine="640"/>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358941"/>
      <w:showingPlcHdr/>
    </w:sdtPr>
    <w:sdtContent>
      <w:p>
        <w:pPr>
          <w:pStyle w:val="22"/>
          <w:ind w:firstLine="360"/>
          <w:jc w:val="center"/>
        </w:pPr>
        <w:r>
          <w:t xml:space="preserve">     </w:t>
        </w:r>
      </w:p>
    </w:sdtContent>
  </w:sdt>
  <w:p>
    <w:pPr>
      <w:pStyle w:val="2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2"/>
          <w:ind w:firstLine="360"/>
          <w:jc w:val="center"/>
        </w:pPr>
        <w:r>
          <w:fldChar w:fldCharType="begin"/>
        </w:r>
        <w:r>
          <w:instrText xml:space="preserve">PAGE   \* MERGEFORMAT</w:instrText>
        </w:r>
        <w:r>
          <w:fldChar w:fldCharType="separate"/>
        </w:r>
        <w:r>
          <w:rPr>
            <w:lang w:val="zh-CN"/>
          </w:rPr>
          <w:t>39</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3198573"/>
    </w:sdtPr>
    <w:sdtContent>
      <w:p>
        <w:pPr>
          <w:pStyle w:val="22"/>
          <w:ind w:firstLine="360"/>
          <w:jc w:val="center"/>
        </w:pPr>
        <w:r>
          <w:fldChar w:fldCharType="begin"/>
        </w:r>
        <w:r>
          <w:instrText xml:space="preserve">PAGE   \* MERGEFORMAT</w:instrText>
        </w:r>
        <w:r>
          <w:fldChar w:fldCharType="separate"/>
        </w:r>
        <w:r>
          <w:rPr>
            <w:lang w:val="zh-CN"/>
          </w:rPr>
          <w:t>2</w:t>
        </w:r>
        <w:r>
          <w:fldChar w:fldCharType="end"/>
        </w:r>
      </w:p>
    </w:sdtContent>
  </w:sdt>
  <w:p>
    <w:pPr>
      <w:pStyle w:val="2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ind w:firstLine="360"/>
      <w:jc w:val="right"/>
      <w:rPr>
        <w:rFonts w:ascii="黑体" w:hAnsi="黑体" w:eastAsia="黑体"/>
        <w:sz w:val="18"/>
        <w:szCs w:val="18"/>
      </w:rPr>
    </w:pPr>
    <w:r>
      <w:rPr>
        <w:rFonts w:hint="eastAsia" w:ascii="黑体" w:hAnsi="黑体" w:eastAsia="黑体"/>
        <w:sz w:val="18"/>
        <w:szCs w:val="18"/>
      </w:rPr>
      <w:t>荔浦市国土空间总体</w:t>
    </w:r>
    <w:r>
      <w:rPr>
        <w:rFonts w:ascii="黑体" w:hAnsi="黑体" w:eastAsia="黑体"/>
        <w:sz w:val="18"/>
        <w:szCs w:val="18"/>
      </w:rPr>
      <w:t>规划</w:t>
    </w:r>
    <w:r>
      <w:rPr>
        <w:rFonts w:hint="eastAsia" w:ascii="黑体" w:hAnsi="黑体" w:eastAsia="黑体"/>
        <w:sz w:val="18"/>
        <w:szCs w:val="18"/>
      </w:rPr>
      <w:t>（2</w:t>
    </w:r>
    <w:r>
      <w:rPr>
        <w:rFonts w:ascii="黑体" w:hAnsi="黑体" w:eastAsia="黑体"/>
        <w:sz w:val="18"/>
        <w:szCs w:val="18"/>
      </w:rPr>
      <w:t>021-2035</w:t>
    </w:r>
    <w:r>
      <w:rPr>
        <w:rFonts w:hint="eastAsia" w:ascii="黑体" w:hAnsi="黑体" w:eastAsia="黑体"/>
        <w:sz w:val="18"/>
        <w:szCs w:val="18"/>
      </w:rPr>
      <w:t>） 规划说明</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59EB"/>
    <w:multiLevelType w:val="multilevel"/>
    <w:tmpl w:val="079E59EB"/>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0AA034D"/>
    <w:multiLevelType w:val="multilevel"/>
    <w:tmpl w:val="10AA034D"/>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2E805CA"/>
    <w:multiLevelType w:val="multilevel"/>
    <w:tmpl w:val="12E805CA"/>
    <w:lvl w:ilvl="0" w:tentative="0">
      <w:start w:val="1"/>
      <w:numFmt w:val="decimal"/>
      <w:pStyle w:val="57"/>
      <w:lvlText w:val="表%1."/>
      <w:lvlJc w:val="center"/>
      <w:pPr>
        <w:ind w:left="420" w:hanging="420"/>
      </w:pPr>
      <w:rPr>
        <w:rFonts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B21D37"/>
    <w:multiLevelType w:val="multilevel"/>
    <w:tmpl w:val="1CB21D37"/>
    <w:lvl w:ilvl="0" w:tentative="0">
      <w:start w:val="1"/>
      <w:numFmt w:val="decimal"/>
      <w:pStyle w:val="51"/>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65269F"/>
    <w:multiLevelType w:val="multilevel"/>
    <w:tmpl w:val="2665269F"/>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DBC40C7"/>
    <w:multiLevelType w:val="multilevel"/>
    <w:tmpl w:val="2DBC40C7"/>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2B932C0"/>
    <w:multiLevelType w:val="multilevel"/>
    <w:tmpl w:val="32B932C0"/>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3B4E6028"/>
    <w:multiLevelType w:val="multilevel"/>
    <w:tmpl w:val="3B4E60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EC83F2E"/>
    <w:multiLevelType w:val="multilevel"/>
    <w:tmpl w:val="3EC83F2E"/>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40A83780"/>
    <w:multiLevelType w:val="multilevel"/>
    <w:tmpl w:val="40A83780"/>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46F7255B"/>
    <w:multiLevelType w:val="multilevel"/>
    <w:tmpl w:val="46F7255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EB36CFD"/>
    <w:multiLevelType w:val="multilevel"/>
    <w:tmpl w:val="4EB36CFD"/>
    <w:lvl w:ilvl="0" w:tentative="0">
      <w:start w:val="1"/>
      <w:numFmt w:val="decimal"/>
      <w:pStyle w:val="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2426FB0"/>
    <w:multiLevelType w:val="multilevel"/>
    <w:tmpl w:val="52426FB0"/>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58382631"/>
    <w:multiLevelType w:val="multilevel"/>
    <w:tmpl w:val="58382631"/>
    <w:lvl w:ilvl="0" w:tentative="0">
      <w:start w:val="1"/>
      <w:numFmt w:val="decimal"/>
      <w:pStyle w:val="31"/>
      <w:lvlText w:val="图%1."/>
      <w:lvlJc w:val="left"/>
      <w:pPr>
        <w:ind w:left="1412"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BD41D1A"/>
    <w:multiLevelType w:val="multilevel"/>
    <w:tmpl w:val="5BD41D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9C0CD7"/>
    <w:multiLevelType w:val="multilevel"/>
    <w:tmpl w:val="649C0CD7"/>
    <w:lvl w:ilvl="0" w:tentative="0">
      <w:start w:val="1"/>
      <w:numFmt w:val="none"/>
      <w:pStyle w:val="91"/>
      <w:lvlText w:val="表"/>
      <w:lvlJc w:val="left"/>
      <w:pPr>
        <w:tabs>
          <w:tab w:val="left" w:pos="360"/>
        </w:tabs>
        <w:ind w:left="0" w:firstLine="0"/>
      </w:pPr>
      <w:rPr>
        <w:rFonts w:hint="eastAsia" w:ascii="黑体" w:hAnsi="Times New Roman"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E4D60D5"/>
    <w:multiLevelType w:val="multilevel"/>
    <w:tmpl w:val="6E4D60D5"/>
    <w:lvl w:ilvl="0" w:tentative="0">
      <w:start w:val="1"/>
      <w:numFmt w:val="decimal"/>
      <w:pStyle w:val="50"/>
      <w:suff w:val="nothing"/>
      <w:lvlText w:val="图%1"/>
      <w:lvlJc w:val="left"/>
      <w:pPr>
        <w:ind w:left="0" w:firstLine="0"/>
      </w:pPr>
      <w:rPr>
        <w:rFonts w:hint="eastAsia"/>
      </w:rPr>
    </w:lvl>
    <w:lvl w:ilvl="1" w:tentative="0">
      <w:start w:val="1"/>
      <w:numFmt w:val="decimal"/>
      <w:suff w:val="nothing"/>
      <w:lvlText w:val="%2. "/>
      <w:lvlJc w:val="left"/>
      <w:pPr>
        <w:ind w:left="0" w:firstLine="0"/>
      </w:pPr>
      <w:rPr>
        <w:rFonts w:hint="default" w:ascii="Times New Roman" w:hAnsi="Times New Roman" w:cs="Times New Roman"/>
      </w:rPr>
    </w:lvl>
    <w:lvl w:ilvl="2" w:tentative="0">
      <w:start w:val="1"/>
      <w:numFmt w:val="decimal"/>
      <w:suff w:val="nothing"/>
      <w:lvlText w:val="%2.%3. "/>
      <w:lvlJc w:val="left"/>
      <w:pPr>
        <w:ind w:left="341"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7">
    <w:nsid w:val="716C0E0E"/>
    <w:multiLevelType w:val="multilevel"/>
    <w:tmpl w:val="716C0E0E"/>
    <w:lvl w:ilvl="0" w:tentative="0">
      <w:start w:val="1"/>
      <w:numFmt w:val="chineseCountingThousand"/>
      <w:pStyle w:val="3"/>
      <w:lvlText w:val="(%1)"/>
      <w:lvlJc w:val="left"/>
      <w:pPr>
        <w:ind w:left="420" w:hanging="420"/>
      </w:pPr>
      <w:rPr>
        <w:rFonts w:hint="eastAsia"/>
      </w:rPr>
    </w:lvl>
    <w:lvl w:ilvl="1" w:tentative="0">
      <w:start w:val="1"/>
      <w:numFmt w:val="decimal"/>
      <w:lvlText w:val="%1.%2."/>
      <w:lvlJc w:val="left"/>
      <w:pPr>
        <w:ind w:left="567"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09" w:hanging="709"/>
      </w:pPr>
      <w:rPr>
        <w:rFonts w:hint="eastAsia"/>
      </w:rPr>
    </w:lvl>
    <w:lvl w:ilvl="3" w:tentative="0">
      <w:start w:val="1"/>
      <w:numFmt w:val="decimal"/>
      <w:pStyle w:val="6"/>
      <w:lvlText w:val="%1.%2.%3.%4."/>
      <w:lvlJc w:val="left"/>
      <w:pPr>
        <w:ind w:left="2837" w:hanging="851"/>
      </w:pPr>
      <w:rPr>
        <w:rFonts w:hint="eastAsia" w:ascii="黑体" w:hAnsi="黑体" w:eastAsia="黑体"/>
        <w:sz w:val="21"/>
        <w:szCs w:val="21"/>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8">
    <w:nsid w:val="7DDF2E7F"/>
    <w:multiLevelType w:val="multilevel"/>
    <w:tmpl w:val="7DDF2E7F"/>
    <w:lvl w:ilvl="0" w:tentative="0">
      <w:start w:val="1"/>
      <w:numFmt w:val="chineseCountingThousand"/>
      <w:pStyle w:val="63"/>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lvl w:ilvl="0" w:tentative="1">
        <w:start w:val="1"/>
        <w:numFmt w:val="chineseCountingThousand"/>
        <w:pStyle w:val="2"/>
        <w:lvlText w:val="%1、"/>
        <w:lvlJc w:val="left"/>
        <w:pPr>
          <w:ind w:left="420" w:hanging="420"/>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2">
    <w:abstractNumId w:val="17"/>
  </w:num>
  <w:num w:numId="3">
    <w:abstractNumId w:val="11"/>
  </w:num>
  <w:num w:numId="4">
    <w:abstractNumId w:val="13"/>
  </w:num>
  <w:num w:numId="5">
    <w:abstractNumId w:val="16"/>
  </w:num>
  <w:num w:numId="6">
    <w:abstractNumId w:val="3"/>
  </w:num>
  <w:num w:numId="7">
    <w:abstractNumId w:val="2"/>
  </w:num>
  <w:num w:numId="8">
    <w:abstractNumId w:val="1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1"/>
  </w:num>
  <w:num w:numId="13">
    <w:abstractNumId w:val="9"/>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8"/>
  </w:num>
  <w:num w:numId="18">
    <w:abstractNumId w:val="11"/>
    <w:lvlOverride w:ilvl="0">
      <w:startOverride w:val="1"/>
    </w:lvlOverride>
  </w:num>
  <w:num w:numId="19">
    <w:abstractNumId w:val="11"/>
    <w:lvlOverride w:ilvl="0">
      <w:startOverride w:val="1"/>
    </w:lvlOverride>
  </w:num>
  <w:num w:numId="20">
    <w:abstractNumId w:val="11"/>
    <w:lvlOverride w:ilvl="0">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lvlOverride w:ilvl="0">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0"/>
  </w:num>
  <w:num w:numId="31">
    <w:abstractNumId w:val="14"/>
  </w:num>
  <w:num w:numId="3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89"/>
    <w:rsid w:val="00000F24"/>
    <w:rsid w:val="00004CD9"/>
    <w:rsid w:val="00006C7D"/>
    <w:rsid w:val="00015AE3"/>
    <w:rsid w:val="00017294"/>
    <w:rsid w:val="00017870"/>
    <w:rsid w:val="00017B61"/>
    <w:rsid w:val="00017D11"/>
    <w:rsid w:val="00020A5A"/>
    <w:rsid w:val="0002702D"/>
    <w:rsid w:val="0002742B"/>
    <w:rsid w:val="000301E7"/>
    <w:rsid w:val="0003203E"/>
    <w:rsid w:val="00032E6D"/>
    <w:rsid w:val="000340FB"/>
    <w:rsid w:val="00041A55"/>
    <w:rsid w:val="0004692D"/>
    <w:rsid w:val="0005408C"/>
    <w:rsid w:val="000668E1"/>
    <w:rsid w:val="00067537"/>
    <w:rsid w:val="0007048F"/>
    <w:rsid w:val="0007256B"/>
    <w:rsid w:val="00073F58"/>
    <w:rsid w:val="00084CFD"/>
    <w:rsid w:val="00087FEA"/>
    <w:rsid w:val="000929C3"/>
    <w:rsid w:val="00093358"/>
    <w:rsid w:val="00096F52"/>
    <w:rsid w:val="000977A3"/>
    <w:rsid w:val="000A003E"/>
    <w:rsid w:val="000A29E3"/>
    <w:rsid w:val="000C2506"/>
    <w:rsid w:val="000C4FB8"/>
    <w:rsid w:val="000C5572"/>
    <w:rsid w:val="000C7727"/>
    <w:rsid w:val="000C78A4"/>
    <w:rsid w:val="000D7E7D"/>
    <w:rsid w:val="000E02C0"/>
    <w:rsid w:val="000E0BFC"/>
    <w:rsid w:val="000E1102"/>
    <w:rsid w:val="000E158E"/>
    <w:rsid w:val="000E266F"/>
    <w:rsid w:val="000E2872"/>
    <w:rsid w:val="000E4D52"/>
    <w:rsid w:val="000F5683"/>
    <w:rsid w:val="00100F18"/>
    <w:rsid w:val="0010307F"/>
    <w:rsid w:val="00123DE8"/>
    <w:rsid w:val="001275D4"/>
    <w:rsid w:val="0013166A"/>
    <w:rsid w:val="00132506"/>
    <w:rsid w:val="00132A4A"/>
    <w:rsid w:val="001368D8"/>
    <w:rsid w:val="001455C0"/>
    <w:rsid w:val="00151A38"/>
    <w:rsid w:val="00153965"/>
    <w:rsid w:val="00154336"/>
    <w:rsid w:val="00155814"/>
    <w:rsid w:val="0016087C"/>
    <w:rsid w:val="001650A7"/>
    <w:rsid w:val="00172E2E"/>
    <w:rsid w:val="00174A25"/>
    <w:rsid w:val="00176887"/>
    <w:rsid w:val="00177461"/>
    <w:rsid w:val="00181BEE"/>
    <w:rsid w:val="0018759F"/>
    <w:rsid w:val="00194CC5"/>
    <w:rsid w:val="0019652E"/>
    <w:rsid w:val="001A43F2"/>
    <w:rsid w:val="001A5578"/>
    <w:rsid w:val="001A6569"/>
    <w:rsid w:val="001B081A"/>
    <w:rsid w:val="001B142B"/>
    <w:rsid w:val="001B1AA5"/>
    <w:rsid w:val="001B318C"/>
    <w:rsid w:val="001B4C24"/>
    <w:rsid w:val="001B711D"/>
    <w:rsid w:val="001C58D8"/>
    <w:rsid w:val="001D0447"/>
    <w:rsid w:val="001D13E2"/>
    <w:rsid w:val="001D15DA"/>
    <w:rsid w:val="001D1F2C"/>
    <w:rsid w:val="001D2506"/>
    <w:rsid w:val="001D4A52"/>
    <w:rsid w:val="001D7326"/>
    <w:rsid w:val="001E6520"/>
    <w:rsid w:val="001E7D9B"/>
    <w:rsid w:val="001F07B0"/>
    <w:rsid w:val="001F09F6"/>
    <w:rsid w:val="001F46DF"/>
    <w:rsid w:val="002011F3"/>
    <w:rsid w:val="0020322C"/>
    <w:rsid w:val="00212F26"/>
    <w:rsid w:val="00232FEC"/>
    <w:rsid w:val="0023461A"/>
    <w:rsid w:val="00234B0E"/>
    <w:rsid w:val="00234E6D"/>
    <w:rsid w:val="002354D1"/>
    <w:rsid w:val="00255274"/>
    <w:rsid w:val="002600C6"/>
    <w:rsid w:val="002632DF"/>
    <w:rsid w:val="00263D7E"/>
    <w:rsid w:val="00266075"/>
    <w:rsid w:val="002712D3"/>
    <w:rsid w:val="00272F81"/>
    <w:rsid w:val="00273985"/>
    <w:rsid w:val="00275667"/>
    <w:rsid w:val="00277156"/>
    <w:rsid w:val="00284F11"/>
    <w:rsid w:val="002867D3"/>
    <w:rsid w:val="00291BFC"/>
    <w:rsid w:val="002961E0"/>
    <w:rsid w:val="002A2808"/>
    <w:rsid w:val="002A3928"/>
    <w:rsid w:val="002A49D2"/>
    <w:rsid w:val="002B2089"/>
    <w:rsid w:val="002B2461"/>
    <w:rsid w:val="002B5DBE"/>
    <w:rsid w:val="002C2DD9"/>
    <w:rsid w:val="002C35FB"/>
    <w:rsid w:val="002C74B2"/>
    <w:rsid w:val="002D2310"/>
    <w:rsid w:val="002D579B"/>
    <w:rsid w:val="002D6F70"/>
    <w:rsid w:val="002E0276"/>
    <w:rsid w:val="002E07CC"/>
    <w:rsid w:val="002E1614"/>
    <w:rsid w:val="002E4F8D"/>
    <w:rsid w:val="002E59D4"/>
    <w:rsid w:val="002F04F2"/>
    <w:rsid w:val="002F2867"/>
    <w:rsid w:val="002F2F06"/>
    <w:rsid w:val="002F374D"/>
    <w:rsid w:val="002F3E0D"/>
    <w:rsid w:val="002F7A42"/>
    <w:rsid w:val="002F7A6C"/>
    <w:rsid w:val="00301C94"/>
    <w:rsid w:val="00305D55"/>
    <w:rsid w:val="00314750"/>
    <w:rsid w:val="00322E2F"/>
    <w:rsid w:val="00323F96"/>
    <w:rsid w:val="003249F0"/>
    <w:rsid w:val="00330C8D"/>
    <w:rsid w:val="00332EC4"/>
    <w:rsid w:val="00335B99"/>
    <w:rsid w:val="00335F61"/>
    <w:rsid w:val="00343D4F"/>
    <w:rsid w:val="00365B7E"/>
    <w:rsid w:val="00370FDF"/>
    <w:rsid w:val="003716D0"/>
    <w:rsid w:val="00372D1D"/>
    <w:rsid w:val="00374EB0"/>
    <w:rsid w:val="00375B4C"/>
    <w:rsid w:val="00376753"/>
    <w:rsid w:val="00390E72"/>
    <w:rsid w:val="003A13B7"/>
    <w:rsid w:val="003A251C"/>
    <w:rsid w:val="003A7B2B"/>
    <w:rsid w:val="003B1009"/>
    <w:rsid w:val="003B223F"/>
    <w:rsid w:val="003B5532"/>
    <w:rsid w:val="003C3F12"/>
    <w:rsid w:val="003C4678"/>
    <w:rsid w:val="003C5A18"/>
    <w:rsid w:val="003C662E"/>
    <w:rsid w:val="003D2DF4"/>
    <w:rsid w:val="003D4A0C"/>
    <w:rsid w:val="003E3086"/>
    <w:rsid w:val="003E3708"/>
    <w:rsid w:val="003E477C"/>
    <w:rsid w:val="003E4CE2"/>
    <w:rsid w:val="003E6F57"/>
    <w:rsid w:val="003F1439"/>
    <w:rsid w:val="003F4FE5"/>
    <w:rsid w:val="003F6E2B"/>
    <w:rsid w:val="00411395"/>
    <w:rsid w:val="004114C3"/>
    <w:rsid w:val="00411F1C"/>
    <w:rsid w:val="0041389A"/>
    <w:rsid w:val="00415FAC"/>
    <w:rsid w:val="00421839"/>
    <w:rsid w:val="00421B18"/>
    <w:rsid w:val="00421DEC"/>
    <w:rsid w:val="00422945"/>
    <w:rsid w:val="00422F13"/>
    <w:rsid w:val="004238A0"/>
    <w:rsid w:val="00432C31"/>
    <w:rsid w:val="00435BDD"/>
    <w:rsid w:val="00437BCA"/>
    <w:rsid w:val="004409EE"/>
    <w:rsid w:val="004431B5"/>
    <w:rsid w:val="00467A03"/>
    <w:rsid w:val="00470761"/>
    <w:rsid w:val="004718B5"/>
    <w:rsid w:val="0048348A"/>
    <w:rsid w:val="00487A80"/>
    <w:rsid w:val="004906E7"/>
    <w:rsid w:val="00490735"/>
    <w:rsid w:val="00491B90"/>
    <w:rsid w:val="00496E52"/>
    <w:rsid w:val="004A3B1F"/>
    <w:rsid w:val="004B4711"/>
    <w:rsid w:val="004B4F51"/>
    <w:rsid w:val="004B5AEB"/>
    <w:rsid w:val="004C3F96"/>
    <w:rsid w:val="004D2181"/>
    <w:rsid w:val="004D2AA0"/>
    <w:rsid w:val="004D4C1D"/>
    <w:rsid w:val="004E0624"/>
    <w:rsid w:val="004E1996"/>
    <w:rsid w:val="004E46B8"/>
    <w:rsid w:val="004E7A61"/>
    <w:rsid w:val="004E7F6E"/>
    <w:rsid w:val="004F73BD"/>
    <w:rsid w:val="00505887"/>
    <w:rsid w:val="00506411"/>
    <w:rsid w:val="00507CF0"/>
    <w:rsid w:val="0051627B"/>
    <w:rsid w:val="00523FB0"/>
    <w:rsid w:val="00526E10"/>
    <w:rsid w:val="00527F2D"/>
    <w:rsid w:val="00530E2F"/>
    <w:rsid w:val="005320EE"/>
    <w:rsid w:val="005322F4"/>
    <w:rsid w:val="00535122"/>
    <w:rsid w:val="00546235"/>
    <w:rsid w:val="00552A5F"/>
    <w:rsid w:val="0055749D"/>
    <w:rsid w:val="0056004F"/>
    <w:rsid w:val="00561513"/>
    <w:rsid w:val="005643D3"/>
    <w:rsid w:val="00571CE3"/>
    <w:rsid w:val="00577AC6"/>
    <w:rsid w:val="00581030"/>
    <w:rsid w:val="005814C1"/>
    <w:rsid w:val="00584450"/>
    <w:rsid w:val="005870AC"/>
    <w:rsid w:val="005941CB"/>
    <w:rsid w:val="005A3C2E"/>
    <w:rsid w:val="005A3E1F"/>
    <w:rsid w:val="005A5559"/>
    <w:rsid w:val="005B0436"/>
    <w:rsid w:val="005B2C90"/>
    <w:rsid w:val="005B3FEF"/>
    <w:rsid w:val="005C1ADC"/>
    <w:rsid w:val="005C6E38"/>
    <w:rsid w:val="005D0A4A"/>
    <w:rsid w:val="005D29E6"/>
    <w:rsid w:val="005E0A77"/>
    <w:rsid w:val="005E63A2"/>
    <w:rsid w:val="005E6706"/>
    <w:rsid w:val="005F1649"/>
    <w:rsid w:val="005F2041"/>
    <w:rsid w:val="0060215B"/>
    <w:rsid w:val="00605E02"/>
    <w:rsid w:val="00607C1C"/>
    <w:rsid w:val="00612F7D"/>
    <w:rsid w:val="00621FFA"/>
    <w:rsid w:val="00622B89"/>
    <w:rsid w:val="00623B6D"/>
    <w:rsid w:val="00625477"/>
    <w:rsid w:val="00642DDA"/>
    <w:rsid w:val="00647209"/>
    <w:rsid w:val="00650DBC"/>
    <w:rsid w:val="00655901"/>
    <w:rsid w:val="00655EFC"/>
    <w:rsid w:val="00656293"/>
    <w:rsid w:val="00660324"/>
    <w:rsid w:val="00661749"/>
    <w:rsid w:val="00661868"/>
    <w:rsid w:val="00661F2B"/>
    <w:rsid w:val="006646C0"/>
    <w:rsid w:val="00677075"/>
    <w:rsid w:val="00693BEB"/>
    <w:rsid w:val="006A2663"/>
    <w:rsid w:val="006B18FE"/>
    <w:rsid w:val="006B4425"/>
    <w:rsid w:val="006C0975"/>
    <w:rsid w:val="006C4472"/>
    <w:rsid w:val="006C4561"/>
    <w:rsid w:val="006C4571"/>
    <w:rsid w:val="006C701C"/>
    <w:rsid w:val="006D15B6"/>
    <w:rsid w:val="006D50B1"/>
    <w:rsid w:val="006E0F54"/>
    <w:rsid w:val="006E2C58"/>
    <w:rsid w:val="006E3B97"/>
    <w:rsid w:val="006E4605"/>
    <w:rsid w:val="006E6BD9"/>
    <w:rsid w:val="006F1136"/>
    <w:rsid w:val="006F35C5"/>
    <w:rsid w:val="006F6D74"/>
    <w:rsid w:val="006F7686"/>
    <w:rsid w:val="00700BB3"/>
    <w:rsid w:val="00704C3F"/>
    <w:rsid w:val="00711BAE"/>
    <w:rsid w:val="007122BE"/>
    <w:rsid w:val="0071276E"/>
    <w:rsid w:val="0071665A"/>
    <w:rsid w:val="007171DB"/>
    <w:rsid w:val="00721D11"/>
    <w:rsid w:val="007226B7"/>
    <w:rsid w:val="00722883"/>
    <w:rsid w:val="00726D4A"/>
    <w:rsid w:val="00737D7B"/>
    <w:rsid w:val="00737D82"/>
    <w:rsid w:val="007420C1"/>
    <w:rsid w:val="00742D9F"/>
    <w:rsid w:val="00746413"/>
    <w:rsid w:val="0074722C"/>
    <w:rsid w:val="0075133E"/>
    <w:rsid w:val="00751AD7"/>
    <w:rsid w:val="007522C7"/>
    <w:rsid w:val="00752528"/>
    <w:rsid w:val="0075294E"/>
    <w:rsid w:val="00752B5C"/>
    <w:rsid w:val="00752F44"/>
    <w:rsid w:val="007557A3"/>
    <w:rsid w:val="00756050"/>
    <w:rsid w:val="0076100A"/>
    <w:rsid w:val="00784C7A"/>
    <w:rsid w:val="00784FED"/>
    <w:rsid w:val="00786219"/>
    <w:rsid w:val="00790AE3"/>
    <w:rsid w:val="00794CD5"/>
    <w:rsid w:val="007A62A5"/>
    <w:rsid w:val="007A643E"/>
    <w:rsid w:val="007B4DC8"/>
    <w:rsid w:val="007C0D89"/>
    <w:rsid w:val="007C4814"/>
    <w:rsid w:val="007D3061"/>
    <w:rsid w:val="007D4943"/>
    <w:rsid w:val="007D5687"/>
    <w:rsid w:val="007D5C79"/>
    <w:rsid w:val="007E478D"/>
    <w:rsid w:val="007E55F0"/>
    <w:rsid w:val="007E6BCA"/>
    <w:rsid w:val="007F1409"/>
    <w:rsid w:val="007F2C3C"/>
    <w:rsid w:val="007F2E53"/>
    <w:rsid w:val="007F7011"/>
    <w:rsid w:val="00804C2B"/>
    <w:rsid w:val="00816A58"/>
    <w:rsid w:val="008250CB"/>
    <w:rsid w:val="00827A9B"/>
    <w:rsid w:val="00831382"/>
    <w:rsid w:val="00836792"/>
    <w:rsid w:val="008445D9"/>
    <w:rsid w:val="008451BF"/>
    <w:rsid w:val="00852D03"/>
    <w:rsid w:val="0085789C"/>
    <w:rsid w:val="00861986"/>
    <w:rsid w:val="00864A5D"/>
    <w:rsid w:val="00872F52"/>
    <w:rsid w:val="008808BB"/>
    <w:rsid w:val="00881A40"/>
    <w:rsid w:val="0088268A"/>
    <w:rsid w:val="00882DCC"/>
    <w:rsid w:val="00892087"/>
    <w:rsid w:val="0089486B"/>
    <w:rsid w:val="008A66FF"/>
    <w:rsid w:val="008B0E2A"/>
    <w:rsid w:val="008B16B1"/>
    <w:rsid w:val="008B21B5"/>
    <w:rsid w:val="008C1B92"/>
    <w:rsid w:val="008C2B77"/>
    <w:rsid w:val="008C5827"/>
    <w:rsid w:val="008C6065"/>
    <w:rsid w:val="008D2AC8"/>
    <w:rsid w:val="008D300A"/>
    <w:rsid w:val="008D3A92"/>
    <w:rsid w:val="008D4B5F"/>
    <w:rsid w:val="008D50F9"/>
    <w:rsid w:val="008D6D9C"/>
    <w:rsid w:val="008E0E76"/>
    <w:rsid w:val="008E3BC9"/>
    <w:rsid w:val="008E435C"/>
    <w:rsid w:val="008E6140"/>
    <w:rsid w:val="008E6C0D"/>
    <w:rsid w:val="008E7E02"/>
    <w:rsid w:val="008E7FE1"/>
    <w:rsid w:val="008F0F11"/>
    <w:rsid w:val="008F1B62"/>
    <w:rsid w:val="008F2F95"/>
    <w:rsid w:val="008F44C2"/>
    <w:rsid w:val="00905BB1"/>
    <w:rsid w:val="00915455"/>
    <w:rsid w:val="00915AD5"/>
    <w:rsid w:val="00917C03"/>
    <w:rsid w:val="00921530"/>
    <w:rsid w:val="00923C9C"/>
    <w:rsid w:val="00923CC5"/>
    <w:rsid w:val="009261CC"/>
    <w:rsid w:val="00926A12"/>
    <w:rsid w:val="00927C01"/>
    <w:rsid w:val="009333B4"/>
    <w:rsid w:val="00944E77"/>
    <w:rsid w:val="0096392D"/>
    <w:rsid w:val="00966F26"/>
    <w:rsid w:val="0097028E"/>
    <w:rsid w:val="00970648"/>
    <w:rsid w:val="00972ACB"/>
    <w:rsid w:val="0097700F"/>
    <w:rsid w:val="009847C0"/>
    <w:rsid w:val="00992BE7"/>
    <w:rsid w:val="009949A8"/>
    <w:rsid w:val="00996EC0"/>
    <w:rsid w:val="00997422"/>
    <w:rsid w:val="009A0DCF"/>
    <w:rsid w:val="009A1FE9"/>
    <w:rsid w:val="009A3078"/>
    <w:rsid w:val="009A3C09"/>
    <w:rsid w:val="009A4F31"/>
    <w:rsid w:val="009A6D77"/>
    <w:rsid w:val="009A7590"/>
    <w:rsid w:val="009A7FCF"/>
    <w:rsid w:val="009B2F22"/>
    <w:rsid w:val="009B54D9"/>
    <w:rsid w:val="009C0535"/>
    <w:rsid w:val="009C2897"/>
    <w:rsid w:val="009D0AAE"/>
    <w:rsid w:val="009D1CBC"/>
    <w:rsid w:val="009E163F"/>
    <w:rsid w:val="009E1915"/>
    <w:rsid w:val="009E2211"/>
    <w:rsid w:val="009E422D"/>
    <w:rsid w:val="009E44BC"/>
    <w:rsid w:val="009E717F"/>
    <w:rsid w:val="009F6F45"/>
    <w:rsid w:val="00A00268"/>
    <w:rsid w:val="00A03820"/>
    <w:rsid w:val="00A068BE"/>
    <w:rsid w:val="00A11909"/>
    <w:rsid w:val="00A120EE"/>
    <w:rsid w:val="00A16E10"/>
    <w:rsid w:val="00A16F27"/>
    <w:rsid w:val="00A31956"/>
    <w:rsid w:val="00A33584"/>
    <w:rsid w:val="00A353D0"/>
    <w:rsid w:val="00A3580E"/>
    <w:rsid w:val="00A429B8"/>
    <w:rsid w:val="00A43EFC"/>
    <w:rsid w:val="00A45687"/>
    <w:rsid w:val="00A4582F"/>
    <w:rsid w:val="00A47B78"/>
    <w:rsid w:val="00A52612"/>
    <w:rsid w:val="00A540B4"/>
    <w:rsid w:val="00A55501"/>
    <w:rsid w:val="00A655A2"/>
    <w:rsid w:val="00A71F68"/>
    <w:rsid w:val="00A72B1A"/>
    <w:rsid w:val="00A7327B"/>
    <w:rsid w:val="00A75D9F"/>
    <w:rsid w:val="00A82E2A"/>
    <w:rsid w:val="00A86F70"/>
    <w:rsid w:val="00A90AD2"/>
    <w:rsid w:val="00A94AEC"/>
    <w:rsid w:val="00AA009F"/>
    <w:rsid w:val="00AA06BC"/>
    <w:rsid w:val="00AA6A51"/>
    <w:rsid w:val="00AB0E85"/>
    <w:rsid w:val="00AB12AD"/>
    <w:rsid w:val="00AB1CE4"/>
    <w:rsid w:val="00AB2194"/>
    <w:rsid w:val="00AB5D3E"/>
    <w:rsid w:val="00AB6D44"/>
    <w:rsid w:val="00AC0A27"/>
    <w:rsid w:val="00AC634B"/>
    <w:rsid w:val="00AC7BA0"/>
    <w:rsid w:val="00AD157F"/>
    <w:rsid w:val="00AD4123"/>
    <w:rsid w:val="00AD7932"/>
    <w:rsid w:val="00AE232A"/>
    <w:rsid w:val="00AE3A4C"/>
    <w:rsid w:val="00AE7237"/>
    <w:rsid w:val="00AE757D"/>
    <w:rsid w:val="00AF270D"/>
    <w:rsid w:val="00B033E0"/>
    <w:rsid w:val="00B03DDA"/>
    <w:rsid w:val="00B040B9"/>
    <w:rsid w:val="00B22C40"/>
    <w:rsid w:val="00B245B5"/>
    <w:rsid w:val="00B257D3"/>
    <w:rsid w:val="00B32DB5"/>
    <w:rsid w:val="00B3507C"/>
    <w:rsid w:val="00B3520E"/>
    <w:rsid w:val="00B3550B"/>
    <w:rsid w:val="00B360FB"/>
    <w:rsid w:val="00B405F1"/>
    <w:rsid w:val="00B4075D"/>
    <w:rsid w:val="00B40B2C"/>
    <w:rsid w:val="00B45AD0"/>
    <w:rsid w:val="00B56056"/>
    <w:rsid w:val="00B6757E"/>
    <w:rsid w:val="00B73950"/>
    <w:rsid w:val="00B739D9"/>
    <w:rsid w:val="00B7436B"/>
    <w:rsid w:val="00B75408"/>
    <w:rsid w:val="00B76D99"/>
    <w:rsid w:val="00B817CD"/>
    <w:rsid w:val="00B92F4E"/>
    <w:rsid w:val="00B969CA"/>
    <w:rsid w:val="00BA0F21"/>
    <w:rsid w:val="00BA108C"/>
    <w:rsid w:val="00BA548F"/>
    <w:rsid w:val="00BA62E5"/>
    <w:rsid w:val="00BA79AE"/>
    <w:rsid w:val="00BB7354"/>
    <w:rsid w:val="00BC23ED"/>
    <w:rsid w:val="00BC7D89"/>
    <w:rsid w:val="00BD23A4"/>
    <w:rsid w:val="00BD41DD"/>
    <w:rsid w:val="00BD4BB7"/>
    <w:rsid w:val="00BD5572"/>
    <w:rsid w:val="00BD6715"/>
    <w:rsid w:val="00BD7402"/>
    <w:rsid w:val="00BF52CF"/>
    <w:rsid w:val="00C0463D"/>
    <w:rsid w:val="00C04AF1"/>
    <w:rsid w:val="00C12F16"/>
    <w:rsid w:val="00C14622"/>
    <w:rsid w:val="00C16EF3"/>
    <w:rsid w:val="00C20862"/>
    <w:rsid w:val="00C213C2"/>
    <w:rsid w:val="00C22383"/>
    <w:rsid w:val="00C228DA"/>
    <w:rsid w:val="00C23F9C"/>
    <w:rsid w:val="00C2552F"/>
    <w:rsid w:val="00C25B49"/>
    <w:rsid w:val="00C27261"/>
    <w:rsid w:val="00C3424D"/>
    <w:rsid w:val="00C3474B"/>
    <w:rsid w:val="00C64F73"/>
    <w:rsid w:val="00C660B9"/>
    <w:rsid w:val="00C73046"/>
    <w:rsid w:val="00C74B00"/>
    <w:rsid w:val="00C936EC"/>
    <w:rsid w:val="00C95251"/>
    <w:rsid w:val="00CA5C9A"/>
    <w:rsid w:val="00CA6178"/>
    <w:rsid w:val="00CB51CF"/>
    <w:rsid w:val="00CB579C"/>
    <w:rsid w:val="00CC1ECF"/>
    <w:rsid w:val="00CC1EE5"/>
    <w:rsid w:val="00CC32A9"/>
    <w:rsid w:val="00CC4A5A"/>
    <w:rsid w:val="00CD0661"/>
    <w:rsid w:val="00CD54A8"/>
    <w:rsid w:val="00CD56D8"/>
    <w:rsid w:val="00CD67CF"/>
    <w:rsid w:val="00CD7AFD"/>
    <w:rsid w:val="00CE0153"/>
    <w:rsid w:val="00CE1C59"/>
    <w:rsid w:val="00CE4996"/>
    <w:rsid w:val="00CE60B3"/>
    <w:rsid w:val="00D001D2"/>
    <w:rsid w:val="00D00E44"/>
    <w:rsid w:val="00D06011"/>
    <w:rsid w:val="00D0686C"/>
    <w:rsid w:val="00D11983"/>
    <w:rsid w:val="00D177D2"/>
    <w:rsid w:val="00D40CF6"/>
    <w:rsid w:val="00D4102B"/>
    <w:rsid w:val="00D51E13"/>
    <w:rsid w:val="00D51E7A"/>
    <w:rsid w:val="00D55C41"/>
    <w:rsid w:val="00D560DC"/>
    <w:rsid w:val="00D612F6"/>
    <w:rsid w:val="00D62106"/>
    <w:rsid w:val="00D6271B"/>
    <w:rsid w:val="00D733AB"/>
    <w:rsid w:val="00D73D0A"/>
    <w:rsid w:val="00D741D1"/>
    <w:rsid w:val="00D75D39"/>
    <w:rsid w:val="00D75DE4"/>
    <w:rsid w:val="00D77466"/>
    <w:rsid w:val="00DA625D"/>
    <w:rsid w:val="00DB15F8"/>
    <w:rsid w:val="00DC1C4D"/>
    <w:rsid w:val="00DC2AF1"/>
    <w:rsid w:val="00DC4DD3"/>
    <w:rsid w:val="00DC5282"/>
    <w:rsid w:val="00DC583F"/>
    <w:rsid w:val="00DD125D"/>
    <w:rsid w:val="00DD3B18"/>
    <w:rsid w:val="00DD6D68"/>
    <w:rsid w:val="00DE3580"/>
    <w:rsid w:val="00DE56C1"/>
    <w:rsid w:val="00DF4900"/>
    <w:rsid w:val="00DF5A38"/>
    <w:rsid w:val="00DF614F"/>
    <w:rsid w:val="00DF65FE"/>
    <w:rsid w:val="00E00682"/>
    <w:rsid w:val="00E040F3"/>
    <w:rsid w:val="00E06025"/>
    <w:rsid w:val="00E1107C"/>
    <w:rsid w:val="00E12843"/>
    <w:rsid w:val="00E13FEB"/>
    <w:rsid w:val="00E162CE"/>
    <w:rsid w:val="00E2213E"/>
    <w:rsid w:val="00E22FD4"/>
    <w:rsid w:val="00E230DD"/>
    <w:rsid w:val="00E313FE"/>
    <w:rsid w:val="00E35FA5"/>
    <w:rsid w:val="00E44256"/>
    <w:rsid w:val="00E467EF"/>
    <w:rsid w:val="00E467FB"/>
    <w:rsid w:val="00E56C27"/>
    <w:rsid w:val="00E6485E"/>
    <w:rsid w:val="00E65588"/>
    <w:rsid w:val="00E774E6"/>
    <w:rsid w:val="00E77F13"/>
    <w:rsid w:val="00E82ED8"/>
    <w:rsid w:val="00E83582"/>
    <w:rsid w:val="00E8549C"/>
    <w:rsid w:val="00E86F88"/>
    <w:rsid w:val="00E90C60"/>
    <w:rsid w:val="00E93C27"/>
    <w:rsid w:val="00E96FDE"/>
    <w:rsid w:val="00E9727E"/>
    <w:rsid w:val="00E97316"/>
    <w:rsid w:val="00EA15AA"/>
    <w:rsid w:val="00EA287D"/>
    <w:rsid w:val="00EC383F"/>
    <w:rsid w:val="00ED7F2D"/>
    <w:rsid w:val="00EE2C68"/>
    <w:rsid w:val="00EE3444"/>
    <w:rsid w:val="00EF12CC"/>
    <w:rsid w:val="00EF33A6"/>
    <w:rsid w:val="00EF3530"/>
    <w:rsid w:val="00F012CD"/>
    <w:rsid w:val="00F01C67"/>
    <w:rsid w:val="00F100A0"/>
    <w:rsid w:val="00F11B99"/>
    <w:rsid w:val="00F12A52"/>
    <w:rsid w:val="00F132ED"/>
    <w:rsid w:val="00F13C97"/>
    <w:rsid w:val="00F14D8F"/>
    <w:rsid w:val="00F15FCA"/>
    <w:rsid w:val="00F245F7"/>
    <w:rsid w:val="00F31D46"/>
    <w:rsid w:val="00F55420"/>
    <w:rsid w:val="00F57326"/>
    <w:rsid w:val="00F61E2D"/>
    <w:rsid w:val="00F661FF"/>
    <w:rsid w:val="00F66B88"/>
    <w:rsid w:val="00F723E5"/>
    <w:rsid w:val="00F81F43"/>
    <w:rsid w:val="00F86DD9"/>
    <w:rsid w:val="00F902B1"/>
    <w:rsid w:val="00F924B8"/>
    <w:rsid w:val="00F93A06"/>
    <w:rsid w:val="00F94DA9"/>
    <w:rsid w:val="00F96DF9"/>
    <w:rsid w:val="00FA05AF"/>
    <w:rsid w:val="00FA4061"/>
    <w:rsid w:val="00FA54FB"/>
    <w:rsid w:val="00FA56A0"/>
    <w:rsid w:val="00FB28F5"/>
    <w:rsid w:val="00FB376B"/>
    <w:rsid w:val="00FB75D3"/>
    <w:rsid w:val="00FC056D"/>
    <w:rsid w:val="00FC2789"/>
    <w:rsid w:val="00FC5A46"/>
    <w:rsid w:val="00FD0183"/>
    <w:rsid w:val="00FD7563"/>
    <w:rsid w:val="00FE1454"/>
    <w:rsid w:val="00FE63FD"/>
    <w:rsid w:val="00FF0335"/>
    <w:rsid w:val="00FF6C5A"/>
    <w:rsid w:val="19A861BB"/>
    <w:rsid w:val="20944250"/>
    <w:rsid w:val="2E8052A4"/>
    <w:rsid w:val="347D5F7A"/>
    <w:rsid w:val="43F5E9A0"/>
    <w:rsid w:val="5C0063CD"/>
    <w:rsid w:val="67EF58F6"/>
    <w:rsid w:val="67FB2E0B"/>
    <w:rsid w:val="6BD6A8EE"/>
    <w:rsid w:val="77112D1D"/>
    <w:rsid w:val="7E37B1D1"/>
    <w:rsid w:val="7FFF05DB"/>
    <w:rsid w:val="7FFFE705"/>
    <w:rsid w:val="B3F6C112"/>
    <w:rsid w:val="BE3CDF90"/>
    <w:rsid w:val="DEAF3886"/>
    <w:rsid w:val="DECFAEFC"/>
    <w:rsid w:val="F06EABFC"/>
    <w:rsid w:val="FCDF59E0"/>
    <w:rsid w:val="FFFE4F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next w:val="1"/>
    <w:link w:val="40"/>
    <w:qFormat/>
    <w:uiPriority w:val="0"/>
    <w:pPr>
      <w:keepNext/>
      <w:keepLines/>
      <w:numPr>
        <w:ilvl w:val="0"/>
        <w:numId w:val="1"/>
      </w:numPr>
      <w:spacing w:before="340" w:after="480" w:line="360" w:lineRule="auto"/>
      <w:outlineLvl w:val="0"/>
    </w:pPr>
    <w:rPr>
      <w:rFonts w:eastAsia="黑体" w:asciiTheme="minorHAnsi" w:hAnsiTheme="minorHAnsi" w:cstheme="minorBidi"/>
      <w:b/>
      <w:bCs/>
      <w:kern w:val="44"/>
      <w:sz w:val="32"/>
      <w:szCs w:val="44"/>
      <w:lang w:val="en-US" w:eastAsia="zh-CN" w:bidi="ar-SA"/>
    </w:rPr>
  </w:style>
  <w:style w:type="paragraph" w:styleId="3">
    <w:name w:val="heading 2"/>
    <w:next w:val="1"/>
    <w:link w:val="41"/>
    <w:unhideWhenUsed/>
    <w:qFormat/>
    <w:uiPriority w:val="9"/>
    <w:pPr>
      <w:keepNext/>
      <w:keepLines/>
      <w:numPr>
        <w:ilvl w:val="0"/>
        <w:numId w:val="2"/>
      </w:numPr>
      <w:spacing w:before="260" w:after="260" w:line="360" w:lineRule="auto"/>
      <w:jc w:val="both"/>
      <w:outlineLvl w:val="1"/>
    </w:pPr>
    <w:rPr>
      <w:rFonts w:ascii="黑体" w:eastAsia="黑体" w:hAnsiTheme="majorHAnsi" w:cstheme="majorBidi"/>
      <w:b/>
      <w:bCs/>
      <w:kern w:val="2"/>
      <w:sz w:val="32"/>
      <w:szCs w:val="32"/>
      <w:lang w:val="en-US" w:eastAsia="zh-CN" w:bidi="ar-SA"/>
    </w:rPr>
  </w:style>
  <w:style w:type="paragraph" w:styleId="4">
    <w:name w:val="heading 3"/>
    <w:basedOn w:val="3"/>
    <w:next w:val="1"/>
    <w:link w:val="42"/>
    <w:unhideWhenUsed/>
    <w:qFormat/>
    <w:uiPriority w:val="9"/>
    <w:pPr>
      <w:keepNext w:val="0"/>
      <w:numPr>
        <w:numId w:val="0"/>
      </w:numPr>
      <w:ind w:firstLine="200" w:firstLineChars="200"/>
      <w:outlineLvl w:val="2"/>
    </w:pPr>
    <w:rPr>
      <w:rFonts w:eastAsia="楷体_GB2312"/>
      <w:b w:val="0"/>
    </w:rPr>
  </w:style>
  <w:style w:type="paragraph" w:styleId="5">
    <w:name w:val="heading 4"/>
    <w:basedOn w:val="4"/>
    <w:next w:val="1"/>
    <w:link w:val="43"/>
    <w:unhideWhenUsed/>
    <w:qFormat/>
    <w:uiPriority w:val="9"/>
    <w:pPr>
      <w:numPr>
        <w:numId w:val="3"/>
      </w:numPr>
      <w:spacing w:line="480" w:lineRule="exact"/>
      <w:ind w:firstLine="0" w:firstLineChars="0"/>
      <w:outlineLvl w:val="3"/>
    </w:pPr>
    <w:rPr>
      <w:rFonts w:eastAsia="仿宋"/>
    </w:rPr>
  </w:style>
  <w:style w:type="paragraph" w:styleId="6">
    <w:name w:val="heading 5"/>
    <w:basedOn w:val="5"/>
    <w:next w:val="1"/>
    <w:link w:val="44"/>
    <w:unhideWhenUsed/>
    <w:qFormat/>
    <w:uiPriority w:val="9"/>
    <w:pPr>
      <w:numPr>
        <w:ilvl w:val="3"/>
        <w:numId w:val="2"/>
      </w:numPr>
      <w:jc w:val="left"/>
      <w:outlineLvl w:val="4"/>
    </w:pPr>
    <w:rPr>
      <w:rFonts w:ascii="仿宋_GB2312" w:hAnsi="仿宋_GB2312"/>
      <w:color w:val="70AD47" w:themeColor="accent6"/>
      <w:szCs w:val="22"/>
      <w14:textFill>
        <w14:solidFill>
          <w14:schemeClr w14:val="accent6"/>
        </w14:solidFill>
      </w14:textFill>
    </w:rPr>
  </w:style>
  <w:style w:type="paragraph" w:styleId="7">
    <w:name w:val="heading 6"/>
    <w:basedOn w:val="6"/>
    <w:next w:val="1"/>
    <w:link w:val="45"/>
    <w:unhideWhenUsed/>
    <w:qFormat/>
    <w:uiPriority w:val="9"/>
    <w:pPr>
      <w:numPr>
        <w:ilvl w:val="0"/>
        <w:numId w:val="0"/>
      </w:numPr>
      <w:ind w:left="420" w:hanging="420"/>
      <w:outlineLvl w:val="5"/>
    </w:pPr>
    <w:rPr>
      <w:color w:val="7030A0"/>
    </w:rPr>
  </w:style>
  <w:style w:type="paragraph" w:styleId="8">
    <w:name w:val="heading 7"/>
    <w:next w:val="1"/>
    <w:link w:val="39"/>
    <w:unhideWhenUsed/>
    <w:qFormat/>
    <w:uiPriority w:val="0"/>
    <w:pPr>
      <w:adjustRightInd w:val="0"/>
      <w:snapToGrid w:val="0"/>
      <w:spacing w:line="360" w:lineRule="auto"/>
      <w:jc w:val="center"/>
      <w:outlineLvl w:val="6"/>
    </w:pPr>
    <w:rPr>
      <w:rFonts w:ascii="黑体" w:hAnsi="黑体" w:eastAsia="黑体" w:cstheme="minorBidi"/>
      <w:kern w:val="2"/>
      <w:sz w:val="18"/>
      <w:szCs w:val="18"/>
      <w:lang w:val="en-US" w:eastAsia="zh-CN" w:bidi="ar-SA"/>
    </w:rPr>
  </w:style>
  <w:style w:type="paragraph" w:styleId="9">
    <w:name w:val="heading 8"/>
    <w:next w:val="1"/>
    <w:link w:val="47"/>
    <w:unhideWhenUsed/>
    <w:qFormat/>
    <w:uiPriority w:val="9"/>
    <w:pPr>
      <w:adjustRightInd w:val="0"/>
      <w:snapToGrid w:val="0"/>
      <w:spacing w:before="156" w:beforeLines="50" w:line="360" w:lineRule="auto"/>
      <w:ind w:left="420" w:hanging="420"/>
      <w:jc w:val="center"/>
      <w:outlineLvl w:val="7"/>
    </w:pPr>
    <w:rPr>
      <w:rFonts w:ascii="黑体" w:hAnsi="黑体" w:eastAsia="黑体" w:cstheme="minorBidi"/>
      <w:b/>
      <w:kern w:val="2"/>
      <w:sz w:val="18"/>
      <w:szCs w:val="21"/>
      <w:lang w:val="en-US" w:eastAsia="zh-CN" w:bidi="ar-SA"/>
    </w:rPr>
  </w:style>
  <w:style w:type="paragraph" w:styleId="10">
    <w:name w:val="heading 9"/>
    <w:basedOn w:val="11"/>
    <w:next w:val="1"/>
    <w:link w:val="46"/>
    <w:unhideWhenUsed/>
    <w:qFormat/>
    <w:uiPriority w:val="9"/>
    <w:pPr>
      <w:ind w:left="900" w:firstLine="0" w:firstLineChars="0"/>
      <w:outlineLvl w:val="8"/>
    </w:pPr>
    <w:rPr>
      <w:rFonts w:ascii="仿宋_GB2312" w:hAnsi="仿宋_GB2312" w:cs="仿宋_GB2312"/>
    </w:rPr>
  </w:style>
  <w:style w:type="character" w:default="1" w:styleId="32">
    <w:name w:val="Default Paragraph Font"/>
    <w:unhideWhenUsed/>
    <w:qFormat/>
    <w:uiPriority w:val="1"/>
  </w:style>
  <w:style w:type="table" w:default="1" w:styleId="37">
    <w:name w:val="Normal Table"/>
    <w:unhideWhenUsed/>
    <w:uiPriority w:val="99"/>
    <w:tblPr>
      <w:tblLayout w:type="fixed"/>
      <w:tblCellMar>
        <w:top w:w="0" w:type="dxa"/>
        <w:left w:w="108" w:type="dxa"/>
        <w:bottom w:w="0" w:type="dxa"/>
        <w:right w:w="108" w:type="dxa"/>
      </w:tblCellMar>
    </w:tblPr>
  </w:style>
  <w:style w:type="paragraph" w:customStyle="1" w:styleId="11">
    <w:name w:val="List Paragraph"/>
    <w:basedOn w:val="1"/>
    <w:link w:val="86"/>
    <w:qFormat/>
    <w:uiPriority w:val="34"/>
    <w:pPr>
      <w:ind w:firstLine="420"/>
    </w:pPr>
  </w:style>
  <w:style w:type="paragraph" w:styleId="12">
    <w:name w:val="annotation subject"/>
    <w:basedOn w:val="13"/>
    <w:next w:val="13"/>
    <w:link w:val="79"/>
    <w:unhideWhenUsed/>
    <w:qFormat/>
    <w:uiPriority w:val="99"/>
    <w:rPr>
      <w:b/>
      <w:bCs/>
    </w:rPr>
  </w:style>
  <w:style w:type="paragraph" w:styleId="13">
    <w:name w:val="annotation text"/>
    <w:basedOn w:val="1"/>
    <w:link w:val="78"/>
    <w:unhideWhenUsed/>
    <w:qFormat/>
    <w:uiPriority w:val="0"/>
    <w:pPr>
      <w:keepLines/>
      <w:widowControl w:val="0"/>
      <w:jc w:val="left"/>
    </w:pPr>
    <w:rPr>
      <w:rFonts w:ascii="宋体" w:hAnsi="宋体" w:cs="Times New Roman"/>
      <w:szCs w:val="20"/>
    </w:rPr>
  </w:style>
  <w:style w:type="paragraph" w:styleId="14">
    <w:name w:val="toc 7"/>
    <w:basedOn w:val="1"/>
    <w:next w:val="1"/>
    <w:unhideWhenUsed/>
    <w:qFormat/>
    <w:uiPriority w:val="39"/>
    <w:pPr>
      <w:ind w:left="1200"/>
      <w:jc w:val="left"/>
    </w:pPr>
    <w:rPr>
      <w:rFonts w:eastAsiaTheme="minorHAnsi"/>
      <w:sz w:val="20"/>
      <w:szCs w:val="20"/>
    </w:rPr>
  </w:style>
  <w:style w:type="paragraph" w:styleId="15">
    <w:name w:val="Normal Indent"/>
    <w:basedOn w:val="1"/>
    <w:uiPriority w:val="0"/>
    <w:pPr>
      <w:widowControl w:val="0"/>
      <w:ind w:firstLine="420"/>
    </w:pPr>
    <w:rPr>
      <w:rFonts w:ascii="Times New Roman" w:hAnsi="Times New Roman" w:eastAsia="宋体" w:cs="Times New Roman"/>
    </w:rPr>
  </w:style>
  <w:style w:type="paragraph" w:styleId="16">
    <w:name w:val="Body Text"/>
    <w:basedOn w:val="1"/>
    <w:link w:val="93"/>
    <w:unhideWhenUsed/>
    <w:qFormat/>
    <w:uiPriority w:val="99"/>
    <w:pPr>
      <w:spacing w:after="120"/>
    </w:pPr>
    <w:rPr>
      <w:sz w:val="24"/>
    </w:rPr>
  </w:style>
  <w:style w:type="paragraph" w:styleId="17">
    <w:name w:val="toc 5"/>
    <w:basedOn w:val="1"/>
    <w:next w:val="1"/>
    <w:unhideWhenUsed/>
    <w:qFormat/>
    <w:uiPriority w:val="39"/>
    <w:pPr>
      <w:ind w:left="720"/>
      <w:jc w:val="left"/>
    </w:pPr>
    <w:rPr>
      <w:rFonts w:eastAsiaTheme="minorHAnsi"/>
      <w:sz w:val="20"/>
      <w:szCs w:val="20"/>
    </w:rPr>
  </w:style>
  <w:style w:type="paragraph" w:styleId="18">
    <w:name w:val="toc 3"/>
    <w:basedOn w:val="1"/>
    <w:next w:val="1"/>
    <w:unhideWhenUsed/>
    <w:qFormat/>
    <w:uiPriority w:val="39"/>
    <w:pPr>
      <w:ind w:left="240"/>
      <w:jc w:val="left"/>
    </w:pPr>
    <w:rPr>
      <w:rFonts w:eastAsiaTheme="minorHAnsi"/>
      <w:sz w:val="20"/>
      <w:szCs w:val="20"/>
    </w:rPr>
  </w:style>
  <w:style w:type="paragraph" w:styleId="19">
    <w:name w:val="Plain Text"/>
    <w:basedOn w:val="1"/>
    <w:link w:val="54"/>
    <w:unhideWhenUsed/>
    <w:qFormat/>
    <w:uiPriority w:val="99"/>
    <w:rPr>
      <w:rFonts w:hAnsi="Courier New" w:cs="Courier New" w:asciiTheme="minorEastAsia"/>
    </w:rPr>
  </w:style>
  <w:style w:type="paragraph" w:styleId="20">
    <w:name w:val="toc 8"/>
    <w:basedOn w:val="1"/>
    <w:next w:val="1"/>
    <w:unhideWhenUsed/>
    <w:uiPriority w:val="39"/>
    <w:pPr>
      <w:ind w:left="1440"/>
      <w:jc w:val="left"/>
    </w:pPr>
    <w:rPr>
      <w:rFonts w:eastAsiaTheme="minorHAnsi"/>
      <w:sz w:val="20"/>
      <w:szCs w:val="20"/>
    </w:rPr>
  </w:style>
  <w:style w:type="paragraph" w:styleId="21">
    <w:name w:val="Balloon Text"/>
    <w:basedOn w:val="1"/>
    <w:link w:val="80"/>
    <w:unhideWhenUsed/>
    <w:qFormat/>
    <w:uiPriority w:val="99"/>
    <w:pPr>
      <w:keepLines/>
      <w:widowControl w:val="0"/>
      <w:spacing w:line="240" w:lineRule="auto"/>
    </w:pPr>
    <w:rPr>
      <w:rFonts w:ascii="宋体" w:hAnsi="宋体" w:cs="Times New Roman"/>
      <w:sz w:val="18"/>
      <w:szCs w:val="18"/>
    </w:rPr>
  </w:style>
  <w:style w:type="paragraph" w:styleId="22">
    <w:name w:val="footer"/>
    <w:basedOn w:val="1"/>
    <w:link w:val="56"/>
    <w:unhideWhenUsed/>
    <w:qFormat/>
    <w:uiPriority w:val="99"/>
    <w:pPr>
      <w:tabs>
        <w:tab w:val="center" w:pos="4153"/>
        <w:tab w:val="right" w:pos="8306"/>
      </w:tabs>
      <w:snapToGrid w:val="0"/>
      <w:spacing w:line="240" w:lineRule="auto"/>
      <w:jc w:val="left"/>
    </w:pPr>
    <w:rPr>
      <w:sz w:val="18"/>
      <w:szCs w:val="18"/>
    </w:rPr>
  </w:style>
  <w:style w:type="paragraph" w:styleId="23">
    <w:name w:val="header"/>
    <w:basedOn w:val="1"/>
    <w:link w:val="5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unhideWhenUsed/>
    <w:qFormat/>
    <w:uiPriority w:val="39"/>
    <w:pPr>
      <w:spacing w:before="360"/>
      <w:ind w:firstLine="0" w:firstLineChars="0"/>
      <w:jc w:val="left"/>
    </w:pPr>
    <w:rPr>
      <w:rFonts w:eastAsia="黑体" w:asciiTheme="majorHAnsi"/>
      <w:bCs/>
      <w:caps/>
      <w:szCs w:val="24"/>
    </w:rPr>
  </w:style>
  <w:style w:type="paragraph" w:styleId="25">
    <w:name w:val="toc 4"/>
    <w:basedOn w:val="1"/>
    <w:next w:val="1"/>
    <w:unhideWhenUsed/>
    <w:qFormat/>
    <w:uiPriority w:val="39"/>
    <w:pPr>
      <w:ind w:left="480"/>
      <w:jc w:val="left"/>
    </w:pPr>
    <w:rPr>
      <w:rFonts w:eastAsiaTheme="minorHAnsi"/>
      <w:sz w:val="20"/>
      <w:szCs w:val="20"/>
    </w:rPr>
  </w:style>
  <w:style w:type="paragraph" w:styleId="26">
    <w:name w:val="footnote text"/>
    <w:basedOn w:val="1"/>
    <w:link w:val="70"/>
    <w:unhideWhenUsed/>
    <w:qFormat/>
    <w:uiPriority w:val="99"/>
    <w:pPr>
      <w:widowControl w:val="0"/>
      <w:snapToGrid w:val="0"/>
      <w:ind w:firstLine="480"/>
      <w:jc w:val="left"/>
    </w:pPr>
    <w:rPr>
      <w:rFonts w:ascii="宋体" w:hAnsi="宋体" w:eastAsia="宋体" w:cs="宋体"/>
      <w:sz w:val="18"/>
      <w:szCs w:val="18"/>
    </w:rPr>
  </w:style>
  <w:style w:type="paragraph" w:styleId="27">
    <w:name w:val="toc 6"/>
    <w:basedOn w:val="1"/>
    <w:next w:val="1"/>
    <w:unhideWhenUsed/>
    <w:qFormat/>
    <w:uiPriority w:val="39"/>
    <w:pPr>
      <w:ind w:left="960"/>
      <w:jc w:val="left"/>
    </w:pPr>
    <w:rPr>
      <w:rFonts w:eastAsiaTheme="minorHAnsi"/>
      <w:sz w:val="20"/>
      <w:szCs w:val="20"/>
    </w:rPr>
  </w:style>
  <w:style w:type="paragraph" w:styleId="28">
    <w:name w:val="toc 2"/>
    <w:basedOn w:val="1"/>
    <w:next w:val="1"/>
    <w:unhideWhenUsed/>
    <w:qFormat/>
    <w:uiPriority w:val="39"/>
    <w:pPr>
      <w:tabs>
        <w:tab w:val="left" w:pos="960"/>
        <w:tab w:val="right" w:leader="dot" w:pos="8296"/>
      </w:tabs>
      <w:spacing w:before="240" w:line="440" w:lineRule="exact"/>
      <w:jc w:val="left"/>
    </w:pPr>
    <w:rPr>
      <w:bCs/>
      <w:szCs w:val="20"/>
    </w:rPr>
  </w:style>
  <w:style w:type="paragraph" w:styleId="29">
    <w:name w:val="toc 9"/>
    <w:basedOn w:val="1"/>
    <w:next w:val="1"/>
    <w:unhideWhenUsed/>
    <w:qFormat/>
    <w:uiPriority w:val="39"/>
    <w:pPr>
      <w:ind w:left="1680"/>
      <w:jc w:val="left"/>
    </w:pPr>
    <w:rPr>
      <w:rFonts w:eastAsiaTheme="minorHAnsi"/>
      <w:sz w:val="20"/>
      <w:szCs w:val="20"/>
    </w:rPr>
  </w:style>
  <w:style w:type="paragraph" w:styleId="30">
    <w:name w:val="Normal (Web)"/>
    <w:basedOn w:val="1"/>
    <w:unhideWhenUsed/>
    <w:qFormat/>
    <w:uiPriority w:val="99"/>
    <w:pPr>
      <w:spacing w:before="100" w:beforeAutospacing="1" w:after="100" w:afterAutospacing="1" w:line="240" w:lineRule="auto"/>
      <w:jc w:val="left"/>
    </w:pPr>
    <w:rPr>
      <w:rFonts w:ascii="宋体" w:hAnsi="宋体" w:eastAsia="宋体" w:cs="宋体"/>
      <w:kern w:val="0"/>
      <w:szCs w:val="24"/>
    </w:rPr>
  </w:style>
  <w:style w:type="paragraph" w:styleId="31">
    <w:name w:val="Title"/>
    <w:basedOn w:val="1"/>
    <w:next w:val="1"/>
    <w:link w:val="52"/>
    <w:qFormat/>
    <w:uiPriority w:val="10"/>
    <w:pPr>
      <w:numPr>
        <w:ilvl w:val="0"/>
        <w:numId w:val="4"/>
      </w:numPr>
      <w:spacing w:before="240" w:after="60"/>
      <w:ind w:firstLine="0" w:firstLineChars="0"/>
      <w:jc w:val="center"/>
      <w:outlineLvl w:val="0"/>
    </w:pPr>
    <w:rPr>
      <w:rFonts w:asciiTheme="majorHAnsi" w:hAnsiTheme="majorHAnsi" w:eastAsiaTheme="majorEastAsia" w:cstheme="majorBidi"/>
      <w:b/>
      <w:bCs/>
      <w:szCs w:val="32"/>
    </w:rPr>
  </w:style>
  <w:style w:type="character" w:styleId="33">
    <w:name w:val="Strong"/>
    <w:basedOn w:val="32"/>
    <w:qFormat/>
    <w:uiPriority w:val="0"/>
    <w:rPr>
      <w:b/>
      <w:bCs/>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annotation reference"/>
    <w:basedOn w:val="32"/>
    <w:unhideWhenUsed/>
    <w:uiPriority w:val="0"/>
    <w:rPr>
      <w:sz w:val="21"/>
      <w:szCs w:val="21"/>
    </w:rPr>
  </w:style>
  <w:style w:type="character" w:styleId="36">
    <w:name w:val="footnote reference"/>
    <w:basedOn w:val="32"/>
    <w:unhideWhenUsed/>
    <w:qFormat/>
    <w:uiPriority w:val="99"/>
    <w:rPr>
      <w:vertAlign w:val="superscript"/>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9">
    <w:name w:val="标题 7 字符"/>
    <w:basedOn w:val="32"/>
    <w:link w:val="8"/>
    <w:qFormat/>
    <w:uiPriority w:val="0"/>
    <w:rPr>
      <w:rFonts w:ascii="黑体" w:hAnsi="黑体" w:eastAsia="黑体"/>
      <w:sz w:val="18"/>
      <w:szCs w:val="18"/>
    </w:rPr>
  </w:style>
  <w:style w:type="character" w:customStyle="1" w:styleId="40">
    <w:name w:val="标题 1 字符"/>
    <w:basedOn w:val="32"/>
    <w:link w:val="2"/>
    <w:qFormat/>
    <w:uiPriority w:val="0"/>
    <w:rPr>
      <w:rFonts w:eastAsia="黑体" w:asciiTheme="minorHAnsi" w:hAnsiTheme="minorHAnsi" w:cstheme="minorBidi"/>
      <w:b/>
      <w:bCs/>
      <w:kern w:val="44"/>
      <w:sz w:val="32"/>
      <w:szCs w:val="44"/>
    </w:rPr>
  </w:style>
  <w:style w:type="character" w:customStyle="1" w:styleId="41">
    <w:name w:val="标题 2 字符"/>
    <w:basedOn w:val="32"/>
    <w:link w:val="3"/>
    <w:qFormat/>
    <w:uiPriority w:val="9"/>
    <w:rPr>
      <w:rFonts w:ascii="黑体" w:eastAsia="黑体" w:hAnsiTheme="majorHAnsi" w:cstheme="majorBidi"/>
      <w:b/>
      <w:bCs/>
      <w:kern w:val="2"/>
      <w:sz w:val="32"/>
      <w:szCs w:val="32"/>
    </w:rPr>
  </w:style>
  <w:style w:type="character" w:customStyle="1" w:styleId="42">
    <w:name w:val="标题 3 字符"/>
    <w:basedOn w:val="32"/>
    <w:link w:val="4"/>
    <w:qFormat/>
    <w:uiPriority w:val="9"/>
    <w:rPr>
      <w:rFonts w:ascii="黑体" w:eastAsia="楷体_GB2312" w:hAnsiTheme="majorHAnsi" w:cstheme="majorBidi"/>
      <w:bCs/>
      <w:kern w:val="2"/>
      <w:sz w:val="32"/>
      <w:szCs w:val="32"/>
    </w:rPr>
  </w:style>
  <w:style w:type="character" w:customStyle="1" w:styleId="43">
    <w:name w:val="标题 4 字符"/>
    <w:basedOn w:val="32"/>
    <w:link w:val="5"/>
    <w:qFormat/>
    <w:uiPriority w:val="9"/>
    <w:rPr>
      <w:rFonts w:ascii="黑体" w:eastAsia="仿宋" w:hAnsiTheme="majorHAnsi" w:cstheme="majorBidi"/>
      <w:bCs/>
      <w:kern w:val="2"/>
      <w:sz w:val="32"/>
      <w:szCs w:val="32"/>
    </w:rPr>
  </w:style>
  <w:style w:type="character" w:customStyle="1" w:styleId="44">
    <w:name w:val="标题 5 字符"/>
    <w:basedOn w:val="32"/>
    <w:link w:val="6"/>
    <w:qFormat/>
    <w:uiPriority w:val="9"/>
    <w:rPr>
      <w:rFonts w:ascii="仿宋_GB2312" w:hAnsi="仿宋_GB2312" w:eastAsia="仿宋" w:cstheme="majorBidi"/>
      <w:bCs/>
      <w:color w:val="70AD47" w:themeColor="accent6"/>
      <w:kern w:val="2"/>
      <w:sz w:val="32"/>
      <w:szCs w:val="22"/>
      <w14:textFill>
        <w14:solidFill>
          <w14:schemeClr w14:val="accent6"/>
        </w14:solidFill>
      </w14:textFill>
    </w:rPr>
  </w:style>
  <w:style w:type="character" w:customStyle="1" w:styleId="45">
    <w:name w:val="标题 6 字符"/>
    <w:basedOn w:val="32"/>
    <w:link w:val="7"/>
    <w:qFormat/>
    <w:uiPriority w:val="9"/>
    <w:rPr>
      <w:rFonts w:ascii="仿宋_GB2312" w:hAnsi="仿宋_GB2312" w:eastAsia="仿宋" w:cstheme="majorBidi"/>
      <w:b/>
      <w:bCs/>
      <w:color w:val="7030A0"/>
    </w:rPr>
  </w:style>
  <w:style w:type="character" w:customStyle="1" w:styleId="46">
    <w:name w:val="标题 9 字符"/>
    <w:basedOn w:val="32"/>
    <w:link w:val="10"/>
    <w:qFormat/>
    <w:uiPriority w:val="9"/>
    <w:rPr>
      <w:rFonts w:ascii="仿宋_GB2312" w:hAnsi="仿宋_GB2312" w:eastAsia="仿宋" w:cs="仿宋_GB2312"/>
      <w:sz w:val="24"/>
    </w:rPr>
  </w:style>
  <w:style w:type="character" w:customStyle="1" w:styleId="47">
    <w:name w:val="标题 8 字符"/>
    <w:basedOn w:val="32"/>
    <w:link w:val="9"/>
    <w:qFormat/>
    <w:uiPriority w:val="9"/>
    <w:rPr>
      <w:rFonts w:ascii="黑体" w:hAnsi="黑体" w:eastAsia="黑体"/>
      <w:b/>
      <w:sz w:val="18"/>
      <w:szCs w:val="21"/>
    </w:rPr>
  </w:style>
  <w:style w:type="paragraph" w:customStyle="1" w:styleId="48">
    <w:name w:val="正文宋体+小四"/>
    <w:basedOn w:val="1"/>
    <w:link w:val="49"/>
    <w:qFormat/>
    <w:uiPriority w:val="0"/>
    <w:rPr>
      <w:rFonts w:ascii="宋体" w:hAnsi="宋体" w:cs="Times New Roman"/>
    </w:rPr>
  </w:style>
  <w:style w:type="character" w:customStyle="1" w:styleId="49">
    <w:name w:val="正文宋体+小四 Char"/>
    <w:link w:val="48"/>
    <w:qFormat/>
    <w:uiPriority w:val="0"/>
    <w:rPr>
      <w:rFonts w:ascii="宋体" w:hAnsi="宋体" w:eastAsia="仿宋" w:cs="Times New Roman"/>
      <w:sz w:val="24"/>
    </w:rPr>
  </w:style>
  <w:style w:type="paragraph" w:customStyle="1" w:styleId="50">
    <w:name w:val="表"/>
    <w:basedOn w:val="10"/>
    <w:qFormat/>
    <w:uiPriority w:val="0"/>
    <w:pPr>
      <w:numPr>
        <w:ilvl w:val="0"/>
        <w:numId w:val="5"/>
      </w:numPr>
      <w:tabs>
        <w:tab w:val="left" w:pos="360"/>
      </w:tabs>
      <w:jc w:val="center"/>
    </w:pPr>
  </w:style>
  <w:style w:type="paragraph" w:customStyle="1" w:styleId="51">
    <w:name w:val="图1"/>
    <w:basedOn w:val="31"/>
    <w:link w:val="69"/>
    <w:qFormat/>
    <w:uiPriority w:val="0"/>
    <w:pPr>
      <w:numPr>
        <w:ilvl w:val="0"/>
        <w:numId w:val="6"/>
      </w:numPr>
      <w:wordWrap w:val="0"/>
      <w:adjustRightInd w:val="0"/>
      <w:snapToGrid w:val="0"/>
      <w:spacing w:before="50" w:beforeLines="50" w:after="50" w:afterLines="50"/>
      <w:ind w:left="0" w:right="960" w:firstLine="0"/>
      <w:outlineLvl w:val="9"/>
    </w:pPr>
    <w:rPr>
      <w:rFonts w:ascii="黑体" w:hAnsi="黑体" w:eastAsia="仿宋" w:cs="仿宋_GB2312"/>
      <w:b w:val="0"/>
      <w:sz w:val="21"/>
      <w:szCs w:val="21"/>
    </w:rPr>
  </w:style>
  <w:style w:type="character" w:customStyle="1" w:styleId="52">
    <w:name w:val="标题 字符"/>
    <w:basedOn w:val="32"/>
    <w:link w:val="31"/>
    <w:qFormat/>
    <w:uiPriority w:val="10"/>
    <w:rPr>
      <w:rFonts w:asciiTheme="majorHAnsi" w:hAnsiTheme="majorHAnsi" w:eastAsiaTheme="majorEastAsia" w:cstheme="majorBidi"/>
      <w:b/>
      <w:bCs/>
      <w:kern w:val="2"/>
      <w:sz w:val="32"/>
      <w:szCs w:val="32"/>
    </w:rPr>
  </w:style>
  <w:style w:type="paragraph" w:customStyle="1" w:styleId="53">
    <w:name w:val="样式 纯文本 + 黑体"/>
    <w:basedOn w:val="19"/>
    <w:qFormat/>
    <w:uiPriority w:val="0"/>
    <w:pPr>
      <w:tabs>
        <w:tab w:val="left" w:pos="1620"/>
      </w:tabs>
      <w:jc w:val="left"/>
    </w:pPr>
    <w:rPr>
      <w:rFonts w:ascii="黑体" w:hAnsi="黑体" w:eastAsia="宋体" w:cs="Times New Roman"/>
      <w:bCs/>
      <w:kern w:val="0"/>
      <w:szCs w:val="20"/>
    </w:rPr>
  </w:style>
  <w:style w:type="character" w:customStyle="1" w:styleId="54">
    <w:name w:val="纯文本 字符"/>
    <w:basedOn w:val="32"/>
    <w:link w:val="19"/>
    <w:semiHidden/>
    <w:qFormat/>
    <w:uiPriority w:val="99"/>
    <w:rPr>
      <w:rFonts w:hAnsi="Courier New" w:cs="Courier New" w:asciiTheme="minorEastAsia"/>
    </w:rPr>
  </w:style>
  <w:style w:type="character" w:customStyle="1" w:styleId="55">
    <w:name w:val="页眉 字符"/>
    <w:basedOn w:val="32"/>
    <w:link w:val="23"/>
    <w:qFormat/>
    <w:uiPriority w:val="99"/>
    <w:rPr>
      <w:sz w:val="18"/>
      <w:szCs w:val="18"/>
    </w:rPr>
  </w:style>
  <w:style w:type="character" w:customStyle="1" w:styleId="56">
    <w:name w:val="页脚 字符"/>
    <w:basedOn w:val="32"/>
    <w:link w:val="22"/>
    <w:qFormat/>
    <w:uiPriority w:val="99"/>
    <w:rPr>
      <w:sz w:val="18"/>
      <w:szCs w:val="18"/>
    </w:rPr>
  </w:style>
  <w:style w:type="paragraph" w:customStyle="1" w:styleId="57">
    <w:name w:val="表名1"/>
    <w:basedOn w:val="1"/>
    <w:link w:val="58"/>
    <w:qFormat/>
    <w:uiPriority w:val="0"/>
    <w:pPr>
      <w:keepLines/>
      <w:numPr>
        <w:ilvl w:val="0"/>
        <w:numId w:val="7"/>
      </w:numPr>
      <w:adjustRightInd w:val="0"/>
      <w:snapToGrid w:val="0"/>
      <w:spacing w:before="50" w:beforeLines="50" w:after="50" w:afterLines="50" w:line="240" w:lineRule="auto"/>
      <w:ind w:firstLine="0" w:firstLineChars="0"/>
      <w:jc w:val="center"/>
    </w:pPr>
    <w:rPr>
      <w:rFonts w:ascii="宋体" w:hAnsi="宋体" w:eastAsia="黑体" w:cs="宋体"/>
      <w:sz w:val="28"/>
      <w:szCs w:val="24"/>
    </w:rPr>
  </w:style>
  <w:style w:type="character" w:customStyle="1" w:styleId="58">
    <w:name w:val="表名1 字符"/>
    <w:basedOn w:val="32"/>
    <w:link w:val="57"/>
    <w:qFormat/>
    <w:uiPriority w:val="0"/>
    <w:rPr>
      <w:rFonts w:ascii="宋体" w:hAnsi="宋体" w:eastAsia="黑体" w:cs="宋体"/>
      <w:kern w:val="2"/>
      <w:sz w:val="28"/>
      <w:szCs w:val="24"/>
    </w:rPr>
  </w:style>
  <w:style w:type="paragraph" w:customStyle="1" w:styleId="59">
    <w:name w:val="表格列表"/>
    <w:basedOn w:val="1"/>
    <w:link w:val="60"/>
    <w:qFormat/>
    <w:uiPriority w:val="0"/>
    <w:pPr>
      <w:widowControl w:val="0"/>
      <w:adjustRightInd w:val="0"/>
      <w:spacing w:line="240" w:lineRule="auto"/>
      <w:jc w:val="center"/>
    </w:pPr>
    <w:rPr>
      <w:rFonts w:ascii="黑体" w:hAnsi="黑体" w:cs="Times New Roman"/>
      <w:szCs w:val="21"/>
    </w:rPr>
  </w:style>
  <w:style w:type="character" w:customStyle="1" w:styleId="60">
    <w:name w:val="表格列表 字符"/>
    <w:basedOn w:val="32"/>
    <w:link w:val="59"/>
    <w:qFormat/>
    <w:uiPriority w:val="0"/>
    <w:rPr>
      <w:rFonts w:ascii="黑体" w:hAnsi="黑体" w:eastAsia="仿宋" w:cs="Times New Roman"/>
      <w:szCs w:val="21"/>
    </w:rPr>
  </w:style>
  <w:style w:type="table" w:customStyle="1" w:styleId="61">
    <w:name w:val="网格型31"/>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2">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customStyle="1" w:styleId="63">
    <w:name w:val="Char Char Char Char Char Char Char"/>
    <w:basedOn w:val="2"/>
    <w:qFormat/>
    <w:uiPriority w:val="0"/>
    <w:pPr>
      <w:widowControl w:val="0"/>
      <w:numPr>
        <w:numId w:val="8"/>
      </w:numPr>
      <w:spacing w:after="330" w:line="240" w:lineRule="auto"/>
    </w:pPr>
    <w:rPr>
      <w:rFonts w:ascii="Times New Roman" w:hAnsi="Times New Roman" w:eastAsia="宋体" w:cs="Times New Roman"/>
      <w:sz w:val="44"/>
    </w:rPr>
  </w:style>
  <w:style w:type="paragraph" w:customStyle="1" w:styleId="64">
    <w:name w:val="图表内容"/>
    <w:basedOn w:val="1"/>
    <w:link w:val="65"/>
    <w:qFormat/>
    <w:uiPriority w:val="0"/>
    <w:pPr>
      <w:keepLines/>
      <w:widowControl w:val="0"/>
      <w:adjustRightInd w:val="0"/>
      <w:snapToGrid w:val="0"/>
      <w:spacing w:line="240" w:lineRule="exact"/>
      <w:ind w:firstLine="0" w:firstLineChars="0"/>
      <w:jc w:val="center"/>
    </w:pPr>
    <w:rPr>
      <w:rFonts w:ascii="宋体" w:hAnsi="宋体" w:cs="宋体"/>
      <w:sz w:val="21"/>
      <w:szCs w:val="24"/>
    </w:rPr>
  </w:style>
  <w:style w:type="character" w:customStyle="1" w:styleId="65">
    <w:name w:val="图表内容 字符"/>
    <w:basedOn w:val="32"/>
    <w:link w:val="64"/>
    <w:qFormat/>
    <w:uiPriority w:val="0"/>
    <w:rPr>
      <w:rFonts w:ascii="宋体" w:hAnsi="宋体" w:eastAsia="仿宋" w:cs="宋体"/>
      <w:szCs w:val="24"/>
    </w:rPr>
  </w:style>
  <w:style w:type="character" w:customStyle="1" w:styleId="66">
    <w:name w:val="未处理的提及1"/>
    <w:basedOn w:val="32"/>
    <w:unhideWhenUsed/>
    <w:qFormat/>
    <w:uiPriority w:val="99"/>
    <w:rPr>
      <w:color w:val="605E5C"/>
      <w:shd w:val="clear" w:color="auto" w:fill="E1DFDD"/>
    </w:rPr>
  </w:style>
  <w:style w:type="paragraph" w:customStyle="1" w:styleId="67">
    <w:name w:val="标题 81"/>
    <w:next w:val="1"/>
    <w:unhideWhenUsed/>
    <w:qFormat/>
    <w:uiPriority w:val="9"/>
    <w:pPr>
      <w:adjustRightInd w:val="0"/>
      <w:snapToGrid w:val="0"/>
      <w:spacing w:before="156" w:beforeLines="50"/>
      <w:ind w:left="425" w:hanging="425"/>
      <w:jc w:val="center"/>
      <w:outlineLvl w:val="7"/>
    </w:pPr>
    <w:rPr>
      <w:rFonts w:ascii="黑体" w:hAnsi="黑体" w:eastAsia="黑体" w:cstheme="minorBidi"/>
      <w:b/>
      <w:kern w:val="2"/>
      <w:sz w:val="18"/>
      <w:szCs w:val="21"/>
      <w:lang w:val="en-US" w:eastAsia="zh-CN" w:bidi="ar-SA"/>
    </w:rPr>
  </w:style>
  <w:style w:type="paragraph" w:customStyle="1" w:styleId="68">
    <w:name w:val="标题 82"/>
    <w:next w:val="1"/>
    <w:unhideWhenUsed/>
    <w:qFormat/>
    <w:uiPriority w:val="9"/>
    <w:pPr>
      <w:adjustRightInd w:val="0"/>
      <w:snapToGrid w:val="0"/>
      <w:spacing w:before="156" w:beforeLines="50"/>
      <w:ind w:left="425" w:hanging="425"/>
      <w:jc w:val="center"/>
      <w:outlineLvl w:val="7"/>
    </w:pPr>
    <w:rPr>
      <w:rFonts w:ascii="黑体" w:hAnsi="黑体" w:eastAsia="黑体" w:cstheme="minorBidi"/>
      <w:b/>
      <w:kern w:val="2"/>
      <w:sz w:val="18"/>
      <w:szCs w:val="21"/>
      <w:lang w:val="en-US" w:eastAsia="zh-CN" w:bidi="ar-SA"/>
    </w:rPr>
  </w:style>
  <w:style w:type="character" w:customStyle="1" w:styleId="69">
    <w:name w:val="图1 字符"/>
    <w:basedOn w:val="32"/>
    <w:link w:val="51"/>
    <w:qFormat/>
    <w:uiPriority w:val="0"/>
    <w:rPr>
      <w:rFonts w:ascii="黑体" w:hAnsi="黑体" w:eastAsia="仿宋" w:cs="仿宋_GB2312"/>
      <w:bCs/>
      <w:kern w:val="2"/>
      <w:sz w:val="21"/>
      <w:szCs w:val="21"/>
    </w:rPr>
  </w:style>
  <w:style w:type="character" w:customStyle="1" w:styleId="70">
    <w:name w:val="脚注文本 字符"/>
    <w:basedOn w:val="32"/>
    <w:link w:val="26"/>
    <w:qFormat/>
    <w:uiPriority w:val="99"/>
    <w:rPr>
      <w:rFonts w:ascii="宋体" w:hAnsi="宋体" w:eastAsia="宋体" w:cs="宋体"/>
      <w:sz w:val="18"/>
      <w:szCs w:val="18"/>
    </w:rPr>
  </w:style>
  <w:style w:type="table" w:customStyle="1" w:styleId="71">
    <w:name w:val="网格型浅色1"/>
    <w:basedOn w:val="3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table" w:customStyle="1" w:styleId="72">
    <w:name w:val="无格式表格 11"/>
    <w:basedOn w:val="3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3">
    <w:name w:val="无格式表格 21"/>
    <w:basedOn w:val="37"/>
    <w:qFormat/>
    <w:uiPriority w:val="42"/>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74">
    <w:name w:val="No Spacing"/>
    <w:qFormat/>
    <w:uiPriority w:val="1"/>
    <w:pPr>
      <w:keepLines/>
      <w:widowControl w:val="0"/>
      <w:ind w:firstLine="200" w:firstLineChars="200"/>
      <w:jc w:val="both"/>
    </w:pPr>
    <w:rPr>
      <w:rFonts w:ascii="宋体" w:hAnsi="宋体" w:eastAsia="仿宋" w:cs="Times New Roman"/>
      <w:kern w:val="2"/>
      <w:sz w:val="24"/>
      <w:lang w:val="en-US" w:eastAsia="zh-CN" w:bidi="ar-SA"/>
    </w:rPr>
  </w:style>
  <w:style w:type="paragraph" w:customStyle="1" w:styleId="75">
    <w:name w:val="1"/>
    <w:basedOn w:val="1"/>
    <w:next w:val="1"/>
    <w:unhideWhenUsed/>
    <w:qFormat/>
    <w:uiPriority w:val="39"/>
    <w:pPr>
      <w:widowControl w:val="0"/>
      <w:tabs>
        <w:tab w:val="left" w:pos="1120"/>
        <w:tab w:val="right" w:leader="dot" w:pos="8970"/>
      </w:tabs>
      <w:spacing w:line="500" w:lineRule="exact"/>
      <w:ind w:left="629"/>
      <w:jc w:val="left"/>
    </w:pPr>
    <w:rPr>
      <w:rFonts w:ascii="Times New Roman" w:hAnsi="Times New Roman" w:eastAsia="宋体" w:cs="Calibri"/>
      <w:sz w:val="18"/>
      <w:szCs w:val="18"/>
    </w:rPr>
  </w:style>
  <w:style w:type="paragraph" w:customStyle="1" w:styleId="76">
    <w:name w:val="正文+小四"/>
    <w:basedOn w:val="1"/>
    <w:link w:val="77"/>
    <w:qFormat/>
    <w:uiPriority w:val="0"/>
    <w:pPr>
      <w:widowControl w:val="0"/>
      <w:adjustRightInd w:val="0"/>
      <w:snapToGrid w:val="0"/>
    </w:pPr>
    <w:rPr>
      <w:rFonts w:ascii="宋体" w:hAnsi="宋体" w:eastAsia="宋体" w:cs="宋体"/>
      <w:szCs w:val="24"/>
    </w:rPr>
  </w:style>
  <w:style w:type="character" w:customStyle="1" w:styleId="77">
    <w:name w:val="正文+小四 字符"/>
    <w:link w:val="76"/>
    <w:qFormat/>
    <w:uiPriority w:val="0"/>
    <w:rPr>
      <w:rFonts w:ascii="宋体" w:hAnsi="宋体" w:eastAsia="宋体" w:cs="宋体"/>
      <w:sz w:val="24"/>
      <w:szCs w:val="24"/>
    </w:rPr>
  </w:style>
  <w:style w:type="character" w:customStyle="1" w:styleId="78">
    <w:name w:val="批注文字 字符"/>
    <w:basedOn w:val="32"/>
    <w:link w:val="13"/>
    <w:qFormat/>
    <w:uiPriority w:val="0"/>
    <w:rPr>
      <w:rFonts w:ascii="宋体" w:hAnsi="宋体" w:eastAsia="仿宋" w:cs="Times New Roman"/>
      <w:sz w:val="24"/>
      <w:szCs w:val="20"/>
    </w:rPr>
  </w:style>
  <w:style w:type="character" w:customStyle="1" w:styleId="79">
    <w:name w:val="批注主题 字符"/>
    <w:basedOn w:val="78"/>
    <w:link w:val="12"/>
    <w:semiHidden/>
    <w:qFormat/>
    <w:uiPriority w:val="99"/>
    <w:rPr>
      <w:rFonts w:ascii="宋体" w:hAnsi="宋体" w:eastAsia="仿宋" w:cs="Times New Roman"/>
      <w:b/>
      <w:bCs/>
      <w:sz w:val="24"/>
      <w:szCs w:val="20"/>
    </w:rPr>
  </w:style>
  <w:style w:type="character" w:customStyle="1" w:styleId="80">
    <w:name w:val="批注框文本 字符"/>
    <w:basedOn w:val="32"/>
    <w:link w:val="21"/>
    <w:semiHidden/>
    <w:qFormat/>
    <w:uiPriority w:val="99"/>
    <w:rPr>
      <w:rFonts w:ascii="宋体" w:hAnsi="宋体" w:eastAsia="仿宋" w:cs="Times New Roman"/>
      <w:sz w:val="18"/>
      <w:szCs w:val="18"/>
    </w:rPr>
  </w:style>
  <w:style w:type="table" w:customStyle="1" w:styleId="81">
    <w:name w:val="网格型5"/>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2">
    <w:name w:val="网格型6"/>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3">
    <w:name w:val="Char"/>
    <w:basedOn w:val="1"/>
    <w:qFormat/>
    <w:uiPriority w:val="0"/>
    <w:pPr>
      <w:widowControl w:val="0"/>
      <w:spacing w:before="120" w:after="120"/>
      <w:ind w:firstLine="420"/>
    </w:pPr>
    <w:rPr>
      <w:rFonts w:ascii="Tahoma" w:hAnsi="Tahoma" w:eastAsia="宋体" w:cs="Times New Roman"/>
      <w:sz w:val="28"/>
      <w:szCs w:val="20"/>
    </w:rPr>
  </w:style>
  <w:style w:type="character" w:customStyle="1" w:styleId="84">
    <w:name w:val="NormalCharacter"/>
    <w:qFormat/>
    <w:uiPriority w:val="0"/>
  </w:style>
  <w:style w:type="paragraph" w:customStyle="1" w:styleId="85">
    <w:name w:val="TOC 标题1"/>
    <w:basedOn w:val="2"/>
    <w:next w:val="1"/>
    <w:unhideWhenUsed/>
    <w:qFormat/>
    <w:uiPriority w:val="39"/>
    <w:pPr>
      <w:numPr>
        <w:numId w:val="0"/>
      </w:numPr>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character" w:customStyle="1" w:styleId="86">
    <w:name w:val="列表段落 字符"/>
    <w:link w:val="11"/>
    <w:qFormat/>
    <w:uiPriority w:val="34"/>
    <w:rPr>
      <w:rFonts w:eastAsia="仿宋"/>
      <w:sz w:val="24"/>
    </w:rPr>
  </w:style>
  <w:style w:type="table" w:customStyle="1" w:styleId="87">
    <w:name w:val="网格型3"/>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8">
    <w:name w:val="正文格式 字符"/>
    <w:link w:val="89"/>
    <w:qFormat/>
    <w:uiPriority w:val="0"/>
    <w:rPr>
      <w:rFonts w:eastAsia="仿宋_GB2312" w:cs="仿宋_GB2312"/>
      <w:sz w:val="32"/>
      <w:szCs w:val="32"/>
    </w:rPr>
  </w:style>
  <w:style w:type="paragraph" w:customStyle="1" w:styleId="89">
    <w:name w:val="正文格式"/>
    <w:basedOn w:val="1"/>
    <w:link w:val="88"/>
    <w:qFormat/>
    <w:uiPriority w:val="0"/>
    <w:pPr>
      <w:adjustRightInd w:val="0"/>
      <w:snapToGrid w:val="0"/>
      <w:spacing w:line="600" w:lineRule="exact"/>
    </w:pPr>
    <w:rPr>
      <w:rFonts w:cs="仿宋_GB2312"/>
      <w:szCs w:val="32"/>
    </w:rPr>
  </w:style>
  <w:style w:type="paragraph" w:customStyle="1" w:styleId="90">
    <w:name w:val="Char1"/>
    <w:basedOn w:val="1"/>
    <w:qFormat/>
    <w:uiPriority w:val="0"/>
    <w:pPr>
      <w:widowControl w:val="0"/>
      <w:ind w:firstLine="0" w:firstLineChars="0"/>
    </w:pPr>
    <w:rPr>
      <w:rFonts w:ascii="Times New Roman" w:hAnsi="Times New Roman" w:eastAsia="宋体" w:cs="Times New Roman"/>
      <w:sz w:val="24"/>
      <w:szCs w:val="20"/>
    </w:rPr>
  </w:style>
  <w:style w:type="paragraph" w:customStyle="1" w:styleId="91">
    <w:name w:val="附录表标题"/>
    <w:next w:val="1"/>
    <w:qFormat/>
    <w:uiPriority w:val="0"/>
    <w:pPr>
      <w:numPr>
        <w:ilvl w:val="0"/>
        <w:numId w:val="9"/>
      </w:numPr>
      <w:jc w:val="center"/>
    </w:pPr>
    <w:rPr>
      <w:rFonts w:ascii="黑体" w:hAnsi="Calibri" w:eastAsia="黑体" w:cs="Times New Roman"/>
      <w:kern w:val="21"/>
      <w:sz w:val="21"/>
      <w:lang w:val="en-US" w:eastAsia="zh-CN" w:bidi="ar-SA"/>
    </w:rPr>
  </w:style>
  <w:style w:type="paragraph" w:customStyle="1" w:styleId="92">
    <w:name w:val="Revision"/>
    <w:hidden/>
    <w:unhideWhenUsed/>
    <w:qFormat/>
    <w:uiPriority w:val="99"/>
    <w:rPr>
      <w:rFonts w:eastAsia="仿宋" w:asciiTheme="minorHAnsi" w:hAnsiTheme="minorHAnsi" w:cstheme="minorBidi"/>
      <w:kern w:val="2"/>
      <w:sz w:val="32"/>
      <w:szCs w:val="22"/>
      <w:lang w:val="en-US" w:eastAsia="zh-CN" w:bidi="ar-SA"/>
    </w:rPr>
  </w:style>
  <w:style w:type="character" w:customStyle="1" w:styleId="93">
    <w:name w:val="正文文本 字符"/>
    <w:basedOn w:val="32"/>
    <w:link w:val="16"/>
    <w:qFormat/>
    <w:uiPriority w:val="99"/>
    <w:rPr>
      <w:rFonts w:eastAsia="仿宋" w:asciiTheme="minorHAnsi" w:hAnsiTheme="minorHAnsi" w:cstheme="minorBidi"/>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C8863-06E2-48F0-8C32-31B0BFD2C350}">
  <ds:schemaRefs/>
</ds:datastoreItem>
</file>

<file path=docProps/app.xml><?xml version="1.0" encoding="utf-8"?>
<Properties xmlns="http://schemas.openxmlformats.org/officeDocument/2006/extended-properties" xmlns:vt="http://schemas.openxmlformats.org/officeDocument/2006/docPropsVTypes">
  <Template>Normal.dotm</Template>
  <Pages>54</Pages>
  <Words>4117</Words>
  <Characters>23467</Characters>
  <Lines>195</Lines>
  <Paragraphs>55</Paragraphs>
  <ScaleCrop>false</ScaleCrop>
  <LinksUpToDate>false</LinksUpToDate>
  <CharactersWithSpaces>27529</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2023-08-03T20:51:00Z</dcterms:created>
  <dc:creator>李坤</dc:creator>
  <cp:lastModifiedBy>Administrator</cp:lastModifiedBy>
  <cp:lastPrinted>2024-04-15T07:53:00Z</cp:lastPrinted>
  <dcterms:modified xsi:type="dcterms:W3CDTF">2025-06-27T01:45:13Z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